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u w:val="single" w:color="auto"/>
          <w:color w:val="auto"/>
        </w:rPr>
        <w:t>SECURITIES AND EXCHANGE COMMISSION</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333"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20"/>
          <w:szCs w:val="20"/>
          <w:b w:val="1"/>
          <w:bCs w:val="1"/>
          <w:color w:val="auto"/>
        </w:rPr>
        <w:t>FORM 11-K</w:t>
      </w:r>
    </w:p>
    <w:p>
      <w:pPr>
        <w:spacing w:after="0" w:line="4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0"/>
          <w:szCs w:val="20"/>
          <w:color w:val="auto"/>
        </w:rPr>
        <w:t>(mark one)</w:t>
      </w:r>
    </w:p>
    <w:p>
      <w:pPr>
        <w:spacing w:after="0" w:line="351" w:lineRule="exact"/>
        <w:rPr>
          <w:sz w:val="24"/>
          <w:szCs w:val="24"/>
          <w:color w:val="auto"/>
        </w:rPr>
      </w:pPr>
    </w:p>
    <w:p>
      <w:pPr>
        <w:ind w:left="1420" w:hanging="278"/>
        <w:spacing w:after="0"/>
        <w:tabs>
          <w:tab w:leader="none" w:pos="142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Annual report pursuant to Section 15(d) of the Securities Exchange Act of 1934</w:t>
      </w:r>
    </w:p>
    <w:p>
      <w:pPr>
        <w:spacing w:after="0" w:line="32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For the annual period ended December 31, 2025</w:t>
      </w:r>
    </w:p>
    <w:p>
      <w:pPr>
        <w:spacing w:after="0" w:line="32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OR</w:t>
      </w:r>
    </w:p>
    <w:p>
      <w:pPr>
        <w:spacing w:after="0" w:line="337" w:lineRule="exact"/>
        <w:rPr>
          <w:sz w:val="24"/>
          <w:szCs w:val="24"/>
          <w:color w:val="auto"/>
        </w:rPr>
      </w:pPr>
    </w:p>
    <w:p>
      <w:pPr>
        <w:ind w:left="1960" w:right="880" w:hanging="926"/>
        <w:spacing w:after="0" w:line="577" w:lineRule="auto"/>
        <w:tabs>
          <w:tab w:leader="none" w:pos="1326" w:val="left"/>
        </w:tabs>
        <w:numPr>
          <w:ilvl w:val="1"/>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Transition report pursuant to Section 15(d) of the Securities Exchange Act of 1934 For the transition period from ____________ to ____________</w:t>
      </w:r>
    </w:p>
    <w:p>
      <w:pPr>
        <w:spacing w:after="0" w:line="1" w:lineRule="exact"/>
        <w:rPr>
          <w:rFonts w:ascii="MS PGothic" w:cs="MS PGothic" w:eastAsia="MS PGothic" w:hAnsi="MS PGothic"/>
          <w:sz w:val="20"/>
          <w:szCs w:val="20"/>
          <w:color w:val="auto"/>
        </w:rPr>
      </w:pPr>
    </w:p>
    <w:p>
      <w:pPr>
        <w:ind w:left="3040"/>
        <w:spacing w:after="0"/>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Commission File Number:  001-38695</w:t>
      </w:r>
    </w:p>
    <w:p>
      <w:pPr>
        <w:spacing w:after="0" w:line="323" w:lineRule="exact"/>
        <w:rPr>
          <w:rFonts w:ascii="MS PGothic" w:cs="MS PGothic" w:eastAsia="MS PGothic" w:hAnsi="MS PGothic"/>
          <w:sz w:val="20"/>
          <w:szCs w:val="20"/>
          <w:color w:val="auto"/>
        </w:rPr>
      </w:pPr>
    </w:p>
    <w:p>
      <w:pPr>
        <w:ind w:left="440" w:hanging="310"/>
        <w:spacing w:after="0"/>
        <w:tabs>
          <w:tab w:leader="none" w:pos="4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title of the plan and the address of the plan, if different from that of the issuer named below:</w:t>
      </w:r>
    </w:p>
    <w:p>
      <w:pPr>
        <w:spacing w:after="0" w:line="306" w:lineRule="exact"/>
        <w:rPr>
          <w:rFonts w:ascii="Times New Roman" w:cs="Times New Roman" w:eastAsia="Times New Roman" w:hAnsi="Times New Roman"/>
          <w:sz w:val="20"/>
          <w:szCs w:val="20"/>
          <w:color w:val="auto"/>
        </w:rPr>
      </w:pPr>
    </w:p>
    <w:p>
      <w:pPr>
        <w:ind w:left="31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CAL-MAINE FOODS, INC. KSOP</w:t>
      </w:r>
    </w:p>
    <w:p>
      <w:pPr>
        <w:spacing w:after="0" w:line="327" w:lineRule="exact"/>
        <w:rPr>
          <w:rFonts w:ascii="Times New Roman" w:cs="Times New Roman" w:eastAsia="Times New Roman" w:hAnsi="Times New Roman"/>
          <w:sz w:val="20"/>
          <w:szCs w:val="20"/>
          <w:color w:val="auto"/>
        </w:rPr>
      </w:pPr>
    </w:p>
    <w:p>
      <w:pPr>
        <w:ind w:left="460" w:hanging="330"/>
        <w:spacing w:after="0"/>
        <w:tabs>
          <w:tab w:leader="none" w:pos="4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 of the securities held pursuant to the plan and the address of its principal executive office:</w:t>
      </w:r>
    </w:p>
    <w:p>
      <w:pPr>
        <w:spacing w:after="0" w:line="3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CAL-MAINE FOODS, INC.</w:t>
      </w:r>
    </w:p>
    <w:p>
      <w:pPr>
        <w:spacing w:after="0" w:line="5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0"/>
          <w:szCs w:val="20"/>
          <w:color w:val="auto"/>
        </w:rPr>
        <w:t>1052 HIGHLAND COLONY PKWY, SUITE 200</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color w:val="auto"/>
        </w:rPr>
        <w:t>RIDGELAND, MS 39157</w:t>
      </w:r>
    </w:p>
    <w:p>
      <w:pPr>
        <w:sectPr>
          <w:pgSz w:w="11900" w:h="16838" w:orient="portrait"/>
          <w:cols w:equalWidth="0" w:num="1">
            <w:col w:w="9160"/>
          </w:cols>
          <w:pgMar w:left="1440" w:top="1440" w:right="1299" w:bottom="1440" w:gutter="0" w:footer="0" w:header="0"/>
        </w:sectPr>
      </w:pPr>
    </w:p>
    <w:bookmarkStart w:id="1" w:name="page2"/>
    <w:bookmarkEnd w:id="1"/>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CAL-MAINE FOODS, INC. KSOP</w:t>
      </w:r>
    </w:p>
    <w:p>
      <w:pPr>
        <w:spacing w:after="0" w:line="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60" w:type="dxa"/>
            <w:vAlign w:val="bottom"/>
          </w:tcPr>
          <w:p>
            <w:pPr>
              <w:spacing w:after="0"/>
              <w:rPr>
                <w:sz w:val="21"/>
                <w:szCs w:val="21"/>
                <w:color w:val="auto"/>
              </w:rPr>
            </w:pPr>
          </w:p>
        </w:tc>
        <w:tc>
          <w:tcPr>
            <w:tcW w:w="1560" w:type="dxa"/>
            <w:vAlign w:val="bottom"/>
            <w:gridSpan w:val="3"/>
          </w:tcPr>
          <w:p>
            <w:pPr>
              <w:ind w:left="820"/>
              <w:spacing w:after="0"/>
              <w:rPr>
                <w:sz w:val="20"/>
                <w:szCs w:val="20"/>
                <w:color w:val="auto"/>
              </w:rPr>
            </w:pPr>
            <w:r>
              <w:rPr>
                <w:rFonts w:ascii="Times New Roman" w:cs="Times New Roman" w:eastAsia="Times New Roman" w:hAnsi="Times New Roman"/>
                <w:sz w:val="20"/>
                <w:szCs w:val="20"/>
                <w:color w:val="auto"/>
              </w:rPr>
              <w:t>Page</w:t>
            </w:r>
          </w:p>
        </w:tc>
      </w:tr>
      <w:tr>
        <w:trPr>
          <w:trHeight w:val="210"/>
        </w:trPr>
        <w:tc>
          <w:tcPr>
            <w:tcW w:w="7860" w:type="dxa"/>
            <w:vAlign w:val="bottom"/>
            <w:shd w:val="clear" w:color="auto" w:fill="CCEEFF"/>
          </w:tcPr>
          <w:p>
            <w:pPr>
              <w:ind w:left="60"/>
              <w:spacing w:after="0" w:line="209" w:lineRule="exact"/>
              <w:rPr>
                <w:sz w:val="20"/>
                <w:szCs w:val="20"/>
                <w:color w:val="auto"/>
              </w:rPr>
            </w:pPr>
            <w:r>
              <w:rPr>
                <w:rFonts w:ascii="Times New Roman" w:cs="Times New Roman" w:eastAsia="Times New Roman" w:hAnsi="Times New Roman"/>
                <w:sz w:val="20"/>
                <w:szCs w:val="20"/>
                <w:color w:val="auto"/>
              </w:rPr>
              <w:t>REPORT OF THE INDEPENDENT REGISTERED PUBLIC ACCOUNTING FIRM</w:t>
            </w:r>
          </w:p>
        </w:tc>
        <w:tc>
          <w:tcPr>
            <w:tcW w:w="820" w:type="dxa"/>
            <w:vAlign w:val="bottom"/>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2</w:t>
            </w:r>
          </w:p>
        </w:tc>
        <w:tc>
          <w:tcPr>
            <w:tcW w:w="340" w:type="dxa"/>
            <w:vAlign w:val="bottom"/>
            <w:shd w:val="clear" w:color="auto" w:fill="CCEEFF"/>
          </w:tcPr>
          <w:p>
            <w:pPr>
              <w:spacing w:after="0"/>
              <w:rPr>
                <w:sz w:val="18"/>
                <w:szCs w:val="18"/>
                <w:color w:val="auto"/>
              </w:rPr>
            </w:pPr>
          </w:p>
        </w:tc>
      </w:tr>
      <w:tr>
        <w:trPr>
          <w:trHeight w:val="229"/>
        </w:trPr>
        <w:tc>
          <w:tcPr>
            <w:tcW w:w="7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20"/>
                <w:szCs w:val="20"/>
                <w:color w:val="auto"/>
              </w:rPr>
              <w:t>FINANCIAL STATEMENTS: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30"/>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Statement of Net Assets Available for Benefits</w:t>
            </w:r>
          </w:p>
        </w:tc>
        <w:tc>
          <w:tcPr>
            <w:tcW w:w="1220" w:type="dxa"/>
            <w:vAlign w:val="bottom"/>
            <w:gridSpan w:val="2"/>
          </w:tcPr>
          <w:p>
            <w:pPr>
              <w:jc w:val="center"/>
              <w:ind w:left="739"/>
              <w:spacing w:after="0"/>
              <w:rPr>
                <w:sz w:val="20"/>
                <w:szCs w:val="20"/>
                <w:color w:val="auto"/>
              </w:rPr>
            </w:pPr>
            <w:r>
              <w:rPr>
                <w:rFonts w:ascii="Times New Roman" w:cs="Times New Roman" w:eastAsia="Times New Roman" w:hAnsi="Times New Roman"/>
                <w:sz w:val="20"/>
                <w:szCs w:val="20"/>
                <w:color w:val="auto"/>
                <w:w w:val="99"/>
              </w:rPr>
              <w:t>4</w:t>
            </w:r>
          </w:p>
        </w:tc>
        <w:tc>
          <w:tcPr>
            <w:tcW w:w="340" w:type="dxa"/>
            <w:vAlign w:val="bottom"/>
          </w:tcPr>
          <w:p>
            <w:pPr>
              <w:spacing w:after="0"/>
              <w:rPr>
                <w:sz w:val="19"/>
                <w:szCs w:val="19"/>
                <w:color w:val="auto"/>
              </w:rPr>
            </w:pPr>
          </w:p>
        </w:tc>
      </w:tr>
      <w:tr>
        <w:trPr>
          <w:trHeight w:val="229"/>
        </w:trPr>
        <w:tc>
          <w:tcPr>
            <w:tcW w:w="78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Statement of Changes in Net Assets Available for Benefits</w:t>
            </w:r>
          </w:p>
        </w:tc>
        <w:tc>
          <w:tcPr>
            <w:tcW w:w="1220" w:type="dxa"/>
            <w:vAlign w:val="bottom"/>
            <w:gridSpan w:val="2"/>
          </w:tcPr>
          <w:p>
            <w:pPr>
              <w:jc w:val="center"/>
              <w:ind w:left="739"/>
              <w:spacing w:after="0"/>
              <w:rPr>
                <w:sz w:val="20"/>
                <w:szCs w:val="20"/>
                <w:color w:val="auto"/>
              </w:rPr>
            </w:pPr>
            <w:r>
              <w:rPr>
                <w:rFonts w:ascii="Times New Roman" w:cs="Times New Roman" w:eastAsia="Times New Roman" w:hAnsi="Times New Roman"/>
                <w:sz w:val="20"/>
                <w:szCs w:val="20"/>
                <w:color w:val="auto"/>
                <w:w w:val="99"/>
              </w:rPr>
              <w:t>5</w:t>
            </w:r>
          </w:p>
        </w:tc>
        <w:tc>
          <w:tcPr>
            <w:tcW w:w="340" w:type="dxa"/>
            <w:vAlign w:val="bottom"/>
          </w:tcPr>
          <w:p>
            <w:pPr>
              <w:spacing w:after="0"/>
              <w:rPr>
                <w:sz w:val="19"/>
                <w:szCs w:val="19"/>
                <w:color w:val="auto"/>
              </w:rPr>
            </w:pPr>
          </w:p>
        </w:tc>
      </w:tr>
      <w:tr>
        <w:trPr>
          <w:trHeight w:val="230"/>
        </w:trPr>
        <w:tc>
          <w:tcPr>
            <w:tcW w:w="78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Notes to the Financial Statements</w:t>
            </w:r>
          </w:p>
        </w:tc>
        <w:tc>
          <w:tcPr>
            <w:tcW w:w="1220" w:type="dxa"/>
            <w:vAlign w:val="bottom"/>
            <w:gridSpan w:val="2"/>
          </w:tcPr>
          <w:p>
            <w:pPr>
              <w:jc w:val="center"/>
              <w:ind w:left="739"/>
              <w:spacing w:after="0"/>
              <w:rPr>
                <w:sz w:val="20"/>
                <w:szCs w:val="20"/>
                <w:color w:val="auto"/>
              </w:rPr>
            </w:pPr>
            <w:r>
              <w:rPr>
                <w:rFonts w:ascii="Times New Roman" w:cs="Times New Roman" w:eastAsia="Times New Roman" w:hAnsi="Times New Roman"/>
                <w:sz w:val="20"/>
                <w:szCs w:val="20"/>
                <w:color w:val="auto"/>
                <w:w w:val="99"/>
              </w:rPr>
              <w:t>6</w:t>
            </w:r>
          </w:p>
        </w:tc>
        <w:tc>
          <w:tcPr>
            <w:tcW w:w="340" w:type="dxa"/>
            <w:vAlign w:val="bottom"/>
          </w:tcPr>
          <w:p>
            <w:pPr>
              <w:spacing w:after="0"/>
              <w:rPr>
                <w:sz w:val="19"/>
                <w:szCs w:val="19"/>
                <w:color w:val="auto"/>
              </w:rPr>
            </w:pPr>
          </w:p>
        </w:tc>
      </w:tr>
      <w:tr>
        <w:trPr>
          <w:trHeight w:val="216"/>
        </w:trPr>
        <w:tc>
          <w:tcPr>
            <w:tcW w:w="7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30"/>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SUPPLEMENTAL SCHEDULE:</w:t>
            </w:r>
          </w:p>
        </w:tc>
        <w:tc>
          <w:tcPr>
            <w:tcW w:w="8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29"/>
        </w:trPr>
        <w:tc>
          <w:tcPr>
            <w:tcW w:w="78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29"/>
        </w:trPr>
        <w:tc>
          <w:tcPr>
            <w:tcW w:w="786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Form 5500, Schedule H, Line 4i – Schedule of Assets (Held at End of Year)</w:t>
            </w:r>
          </w:p>
        </w:tc>
        <w:tc>
          <w:tcPr>
            <w:tcW w:w="1220" w:type="dxa"/>
            <w:vAlign w:val="bottom"/>
            <w:gridSpan w:val="2"/>
          </w:tcPr>
          <w:p>
            <w:pPr>
              <w:jc w:val="center"/>
              <w:ind w:left="739"/>
              <w:spacing w:after="0"/>
              <w:rPr>
                <w:sz w:val="20"/>
                <w:szCs w:val="20"/>
                <w:color w:val="auto"/>
              </w:rPr>
            </w:pPr>
            <w:r>
              <w:rPr>
                <w:rFonts w:ascii="Times New Roman" w:cs="Times New Roman" w:eastAsia="Times New Roman" w:hAnsi="Times New Roman"/>
                <w:sz w:val="20"/>
                <w:szCs w:val="20"/>
                <w:color w:val="auto"/>
              </w:rPr>
              <w:t>12</w:t>
            </w:r>
          </w:p>
        </w:tc>
        <w:tc>
          <w:tcPr>
            <w:tcW w:w="340" w:type="dxa"/>
            <w:vAlign w:val="bottom"/>
          </w:tcPr>
          <w:p>
            <w:pPr>
              <w:spacing w:after="0"/>
              <w:rPr>
                <w:sz w:val="19"/>
                <w:szCs w:val="19"/>
                <w:color w:val="auto"/>
              </w:rPr>
            </w:pPr>
          </w:p>
        </w:tc>
      </w:tr>
      <w:tr>
        <w:trPr>
          <w:trHeight w:val="230"/>
        </w:trPr>
        <w:tc>
          <w:tcPr>
            <w:tcW w:w="78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r>
      <w:tr>
        <w:trPr>
          <w:trHeight w:val="262"/>
        </w:trPr>
        <w:tc>
          <w:tcPr>
            <w:tcW w:w="78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SIGNATURE</w:t>
            </w:r>
          </w:p>
        </w:tc>
        <w:tc>
          <w:tcPr>
            <w:tcW w:w="1220" w:type="dxa"/>
            <w:vAlign w:val="bottom"/>
            <w:gridSpan w:val="2"/>
          </w:tcPr>
          <w:p>
            <w:pPr>
              <w:jc w:val="center"/>
              <w:ind w:left="739"/>
              <w:spacing w:after="0"/>
              <w:rPr>
                <w:sz w:val="20"/>
                <w:szCs w:val="20"/>
                <w:color w:val="auto"/>
              </w:rPr>
            </w:pPr>
            <w:r>
              <w:rPr>
                <w:rFonts w:ascii="Times New Roman" w:cs="Times New Roman" w:eastAsia="Times New Roman" w:hAnsi="Times New Roman"/>
                <w:sz w:val="20"/>
                <w:szCs w:val="20"/>
                <w:color w:val="auto"/>
              </w:rPr>
              <w:t>14</w:t>
            </w:r>
          </w:p>
        </w:tc>
        <w:tc>
          <w:tcPr>
            <w:tcW w:w="340" w:type="dxa"/>
            <w:vAlign w:val="bottom"/>
          </w:tcPr>
          <w:p>
            <w:pPr>
              <w:spacing w:after="0"/>
              <w:rPr>
                <w:sz w:val="22"/>
                <w:szCs w:val="22"/>
                <w:color w:val="auto"/>
              </w:rPr>
            </w:pPr>
          </w:p>
        </w:tc>
      </w:tr>
    </w:tbl>
    <w:p>
      <w:pPr>
        <w:sectPr>
          <w:pgSz w:w="11900" w:h="16838" w:orient="portrait"/>
          <w:cols w:equalWidth="0" w:num="1">
            <w:col w:w="9420"/>
          </w:cols>
          <w:pgMar w:left="1240" w:top="1440" w:right="1239" w:bottom="1440" w:gutter="0" w:footer="0" w:header="0"/>
        </w:sectPr>
      </w:pPr>
    </w:p>
    <w:bookmarkStart w:id="2" w:name="page3"/>
    <w:bookmarkEnd w:id="2"/>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60"/>
        <w:spacing w:after="0"/>
        <w:rPr>
          <w:sz w:val="20"/>
          <w:szCs w:val="20"/>
          <w:color w:val="auto"/>
        </w:rPr>
      </w:pPr>
      <w:r>
        <w:rPr>
          <w:rFonts w:ascii="Times New Roman" w:cs="Times New Roman" w:eastAsia="Times New Roman" w:hAnsi="Times New Roman"/>
          <w:sz w:val="20"/>
          <w:szCs w:val="20"/>
          <w:b w:val="1"/>
          <w:bCs w:val="1"/>
          <w:u w:val="single" w:color="auto"/>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Participants and the Audit Committee of the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Cal-Maine Foods, Inc. KSOP</w:t>
      </w:r>
    </w:p>
    <w:p>
      <w:pPr>
        <w:spacing w:after="0"/>
        <w:rPr>
          <w:sz w:val="20"/>
          <w:szCs w:val="20"/>
          <w:color w:val="auto"/>
        </w:rPr>
      </w:pPr>
      <w:r>
        <w:rPr>
          <w:rFonts w:ascii="Times New Roman" w:cs="Times New Roman" w:eastAsia="Times New Roman" w:hAnsi="Times New Roman"/>
          <w:sz w:val="20"/>
          <w:szCs w:val="20"/>
          <w:color w:val="auto"/>
        </w:rPr>
        <w:t>Ridgeland, Mississippi</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Opinion on the Financial Statements</w:t>
      </w:r>
    </w:p>
    <w:p>
      <w:pPr>
        <w:spacing w:after="0" w:line="22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9"/>
          <w:szCs w:val="19"/>
          <w:color w:val="auto"/>
        </w:rPr>
        <w:t>We have audited the accompanying statements of net assets available for benefits of the Cal-Maine Foods, Inc. KSOP (the “Plan”) as of December 31, 2025 and 2024, and the related statement of changes in net assets availablefor benefits for the years then ended, and the related notes and schedules (collectively referred to as the “financial statements”). In our opinion, the financial statementspresent fairly, in all material respects, the net assets availablefor benefits of the Plan as of December 31, 2025 and 2024, and the changes in net assets available for benefits for the years then ended, in conformity with accounting principles generally accepted in the United States of America.</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Basis for Opinion</w:t>
      </w:r>
    </w:p>
    <w:p>
      <w:pPr>
        <w:spacing w:after="0" w:line="233" w:lineRule="exact"/>
        <w:rPr>
          <w:sz w:val="20"/>
          <w:szCs w:val="20"/>
          <w:color w:val="auto"/>
        </w:rPr>
      </w:pPr>
    </w:p>
    <w:p>
      <w:pPr>
        <w:jc w:val="both"/>
        <w:ind w:right="20" w:firstLine="648"/>
        <w:spacing w:after="0" w:line="247" w:lineRule="auto"/>
        <w:rPr>
          <w:sz w:val="20"/>
          <w:szCs w:val="20"/>
          <w:color w:val="auto"/>
        </w:rPr>
      </w:pPr>
      <w:r>
        <w:rPr>
          <w:rFonts w:ascii="Times New Roman" w:cs="Times New Roman" w:eastAsia="Times New Roman" w:hAnsi="Times New Roman"/>
          <w:sz w:val="20"/>
          <w:szCs w:val="20"/>
          <w:color w:val="auto"/>
          <w:highlight w:val="white"/>
        </w:rPr>
        <w:t xml:space="preserve">These financial statements are the responsibility of the Plan’s management. Our responsibility is to expressan </w:t>
      </w:r>
      <w:r>
        <w:rPr>
          <w:rFonts w:ascii="Times New Roman" w:cs="Times New Roman" w:eastAsia="Times New Roman" w:hAnsi="Times New Roman"/>
          <w:sz w:val="20"/>
          <w:szCs w:val="20"/>
          <w:color w:val="auto"/>
        </w:rPr>
        <w:t xml:space="preserve">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w:t>
      </w:r>
      <w:r>
        <w:rPr>
          <w:rFonts w:ascii="Times New Roman" w:cs="Times New Roman" w:eastAsia="Times New Roman" w:hAnsi="Times New Roman"/>
          <w:sz w:val="20"/>
          <w:szCs w:val="20"/>
          <w:color w:val="auto"/>
          <w:highlight w:val="white"/>
        </w:rPr>
        <w:t>Securities and Exchange Commission and the PCAOB.</w:t>
      </w:r>
    </w:p>
    <w:p>
      <w:pPr>
        <w:spacing w:after="0" w:line="18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0"/>
          <w:szCs w:val="20"/>
          <w:color w:val="auto"/>
          <w:highlight w:val="white"/>
        </w:rPr>
        <w:t xml:space="preserve">We conducted our audits in accordance with the standards of the PCAOB. Those standards require that we plan </w:t>
      </w:r>
      <w:r>
        <w:rPr>
          <w:rFonts w:ascii="Times New Roman" w:cs="Times New Roman" w:eastAsia="Times New Roman" w:hAnsi="Times New Roman"/>
          <w:sz w:val="20"/>
          <w:szCs w:val="20"/>
          <w:color w:val="auto"/>
        </w:rPr>
        <w:t xml:space="preserve">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purposes of expressing an opinion on the effectiveness of the Plan’s </w:t>
      </w:r>
      <w:r>
        <w:rPr>
          <w:rFonts w:ascii="Times New Roman" w:cs="Times New Roman" w:eastAsia="Times New Roman" w:hAnsi="Times New Roman"/>
          <w:sz w:val="20"/>
          <w:szCs w:val="20"/>
          <w:color w:val="auto"/>
          <w:highlight w:val="white"/>
        </w:rPr>
        <w:t>internal control over financial reporting. Accordingly, we express no such opinion.</w:t>
      </w:r>
    </w:p>
    <w:p>
      <w:pPr>
        <w:spacing w:after="0" w:line="179" w:lineRule="exact"/>
        <w:rPr>
          <w:sz w:val="20"/>
          <w:szCs w:val="20"/>
          <w:color w:val="auto"/>
        </w:rPr>
      </w:pPr>
    </w:p>
    <w:p>
      <w:pPr>
        <w:jc w:val="both"/>
        <w:ind w:right="20" w:firstLine="648"/>
        <w:spacing w:after="0" w:line="246" w:lineRule="auto"/>
        <w:rPr>
          <w:sz w:val="20"/>
          <w:szCs w:val="20"/>
          <w:color w:val="auto"/>
        </w:rPr>
      </w:pPr>
      <w:r>
        <w:rPr>
          <w:rFonts w:ascii="Times New Roman" w:cs="Times New Roman" w:eastAsia="Times New Roman" w:hAnsi="Times New Roman"/>
          <w:sz w:val="20"/>
          <w:szCs w:val="20"/>
          <w:color w:val="auto"/>
          <w:highlight w:val="white"/>
        </w:rPr>
        <w:t xml:space="preserve">Our audits included performing procedures to assess the risks of material misstatement of the financial </w:t>
      </w:r>
      <w:r>
        <w:rPr>
          <w:rFonts w:ascii="Times New Roman" w:cs="Times New Roman" w:eastAsia="Times New Roman" w:hAnsi="Times New Roman"/>
          <w:sz w:val="20"/>
          <w:szCs w:val="20"/>
          <w:color w:val="auto"/>
        </w:rPr>
        <w:t xml:space="preserve">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the Plan’s management, as well as evaluating the overall presentation of the financial statements. We believe that our audits </w:t>
      </w:r>
      <w:r>
        <w:rPr>
          <w:rFonts w:ascii="Times New Roman" w:cs="Times New Roman" w:eastAsia="Times New Roman" w:hAnsi="Times New Roman"/>
          <w:sz w:val="20"/>
          <w:szCs w:val="20"/>
          <w:color w:val="auto"/>
          <w:highlight w:val="white"/>
        </w:rPr>
        <w:t>provide a reasonable basis for our opinion.</w:t>
      </w:r>
    </w:p>
    <w:p>
      <w:pPr>
        <w:sectPr>
          <w:pgSz w:w="11900" w:h="16838" w:orient="portrait"/>
          <w:cols w:equalWidth="0" w:num="1">
            <w:col w:w="9440"/>
          </w:cols>
          <w:pgMar w:left="124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9440"/>
          </w:cols>
          <w:pgMar w:left="1240" w:top="1440" w:right="1219" w:bottom="1440" w:gutter="0" w:footer="0" w:header="0"/>
          <w:type w:val="continuous"/>
        </w:sectPr>
      </w:pPr>
    </w:p>
    <w:bookmarkStart w:id="3" w:name="page4"/>
    <w:bookmarkEnd w:id="3"/>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Supplemental Information</w:t>
      </w:r>
    </w:p>
    <w:p>
      <w:pPr>
        <w:spacing w:after="0" w:line="23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9"/>
          <w:szCs w:val="19"/>
          <w:color w:val="auto"/>
        </w:rPr>
        <w:t>The supplemental information in the accompanying schedule of assets (held at end of year) as of December31, 2025 has been subjected to audit procedures performed in conjunction with the audit of the Plan’s financial statements.</w:t>
      </w:r>
    </w:p>
    <w:p>
      <w:pPr>
        <w:spacing w:after="0" w:line="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in the accompanying schedule, we evaluated whether the supplemental information, including its form and content, is presented in conformity with the Department of Labor’s Rules and Regulationsfor Reporting and Disclosure under the Employee Retirement Income Security Act of 1974. In our opinion, the supplementalinformation in the accompanying schedule is fairly stated, in all material respects, in relation to the financial statements as a whole.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Frost, PLLC</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Plan’s auditor since 2007.</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Little Rock, Arkansas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5, 2026</w:t>
      </w:r>
    </w:p>
    <w:p>
      <w:pPr>
        <w:sectPr>
          <w:pgSz w:w="11900" w:h="16838" w:orient="portrait"/>
          <w:cols w:equalWidth="0" w:num="1">
            <w:col w:w="9440"/>
          </w:cols>
          <w:pgMar w:left="124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9440"/>
          </w:cols>
          <w:pgMar w:left="1240" w:top="1440" w:right="121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66"/>
        </w:trPr>
        <w:tc>
          <w:tcPr>
            <w:tcW w:w="1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680" w:type="dxa"/>
            <w:vAlign w:val="bottom"/>
            <w:gridSpan w:val="4"/>
          </w:tcPr>
          <w:p>
            <w:pPr>
              <w:jc w:val="right"/>
              <w:ind w:right="239"/>
              <w:spacing w:after="0"/>
              <w:rPr>
                <w:sz w:val="20"/>
                <w:szCs w:val="20"/>
                <w:color w:val="auto"/>
              </w:rPr>
            </w:pPr>
            <w:r>
              <w:rPr>
                <w:rFonts w:ascii="Times New Roman" w:cs="Times New Roman" w:eastAsia="Times New Roman" w:hAnsi="Times New Roman"/>
                <w:sz w:val="20"/>
                <w:szCs w:val="20"/>
                <w:b w:val="1"/>
                <w:bCs w:val="1"/>
                <w:color w:val="auto"/>
              </w:rPr>
              <w:t>CAL-MAINE FOODS, INC. KSOP</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5520" w:type="dxa"/>
            <w:vAlign w:val="bottom"/>
            <w:gridSpan w:val="3"/>
          </w:tcPr>
          <w:p>
            <w:pPr>
              <w:ind w:left="2540"/>
              <w:spacing w:after="0"/>
              <w:rPr>
                <w:sz w:val="20"/>
                <w:szCs w:val="20"/>
                <w:color w:val="auto"/>
              </w:rPr>
            </w:pPr>
            <w:r>
              <w:rPr>
                <w:rFonts w:ascii="Times New Roman" w:cs="Times New Roman" w:eastAsia="Times New Roman" w:hAnsi="Times New Roman"/>
                <w:sz w:val="20"/>
                <w:szCs w:val="20"/>
                <w:b w:val="1"/>
                <w:bCs w:val="1"/>
                <w:color w:val="auto"/>
              </w:rPr>
              <w:t>Statement of Net Assets Available</w:t>
            </w:r>
          </w:p>
        </w:tc>
        <w:tc>
          <w:tcPr>
            <w:tcW w:w="2180" w:type="dxa"/>
            <w:vAlign w:val="bottom"/>
            <w:gridSpan w:val="3"/>
          </w:tcPr>
          <w:p>
            <w:pPr>
              <w:jc w:val="right"/>
              <w:ind w:right="1019"/>
              <w:spacing w:after="0"/>
              <w:rPr>
                <w:sz w:val="20"/>
                <w:szCs w:val="20"/>
                <w:color w:val="auto"/>
              </w:rPr>
            </w:pPr>
            <w:r>
              <w:rPr>
                <w:rFonts w:ascii="Times New Roman" w:cs="Times New Roman" w:eastAsia="Times New Roman" w:hAnsi="Times New Roman"/>
                <w:sz w:val="20"/>
                <w:szCs w:val="20"/>
                <w:b w:val="1"/>
                <w:bCs w:val="1"/>
                <w:color w:val="auto"/>
              </w:rPr>
              <w:t>for Benefits</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3680" w:type="dxa"/>
            <w:vAlign w:val="bottom"/>
            <w:gridSpan w:val="4"/>
          </w:tcPr>
          <w:p>
            <w:pPr>
              <w:jc w:val="right"/>
              <w:ind w:right="519"/>
              <w:spacing w:after="0"/>
              <w:rPr>
                <w:sz w:val="20"/>
                <w:szCs w:val="20"/>
                <w:color w:val="auto"/>
              </w:rPr>
            </w:pPr>
            <w:r>
              <w:rPr>
                <w:rFonts w:ascii="Times New Roman" w:cs="Times New Roman" w:eastAsia="Times New Roman" w:hAnsi="Times New Roman"/>
                <w:sz w:val="20"/>
                <w:szCs w:val="20"/>
                <w:b w:val="1"/>
                <w:bCs w:val="1"/>
                <w:color w:val="auto"/>
              </w:rPr>
              <w:t>December 31, 2025 and 2024</w:t>
            </w: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588"/>
        </w:trPr>
        <w:tc>
          <w:tcPr>
            <w:tcW w:w="1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20"/>
                <w:szCs w:val="20"/>
                <w:color w:val="auto"/>
              </w:rPr>
              <w:t>2025</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20"/>
                <w:szCs w:val="20"/>
                <w:color w:val="auto"/>
              </w:rPr>
              <w:t>2024</w:t>
            </w:r>
          </w:p>
        </w:tc>
      </w:tr>
      <w:tr>
        <w:trPr>
          <w:trHeight w:val="236"/>
        </w:trPr>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w w:val="99"/>
              </w:rPr>
              <w:t>Assets</w:t>
            </w:r>
          </w:p>
        </w:tc>
        <w:tc>
          <w:tcPr>
            <w:tcW w:w="2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64"/>
        </w:trPr>
        <w:tc>
          <w:tcPr>
            <w:tcW w:w="120" w:type="dxa"/>
            <w:vAlign w:val="bottom"/>
          </w:tcPr>
          <w:p>
            <w:pPr>
              <w:spacing w:after="0"/>
              <w:rPr>
                <w:sz w:val="22"/>
                <w:szCs w:val="22"/>
                <w:color w:val="auto"/>
              </w:rPr>
            </w:pPr>
          </w:p>
        </w:tc>
        <w:tc>
          <w:tcPr>
            <w:tcW w:w="5520" w:type="dxa"/>
            <w:vAlign w:val="bottom"/>
            <w:gridSpan w:val="3"/>
          </w:tcPr>
          <w:p>
            <w:pPr>
              <w:spacing w:after="0"/>
              <w:rPr>
                <w:sz w:val="22"/>
                <w:szCs w:val="22"/>
                <w:color w:val="auto"/>
              </w:rPr>
            </w:pPr>
          </w:p>
        </w:tc>
        <w:tc>
          <w:tcPr>
            <w:tcW w:w="9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gridSpan w:val="2"/>
          </w:tcPr>
          <w:p>
            <w:pPr>
              <w:spacing w:after="0"/>
              <w:rPr>
                <w:sz w:val="22"/>
                <w:szCs w:val="22"/>
                <w:color w:val="auto"/>
              </w:rPr>
            </w:pPr>
          </w:p>
        </w:tc>
        <w:tc>
          <w:tcPr>
            <w:tcW w:w="1240" w:type="dxa"/>
            <w:vAlign w:val="bottom"/>
          </w:tcPr>
          <w:p>
            <w:pPr>
              <w:spacing w:after="0"/>
              <w:rPr>
                <w:sz w:val="22"/>
                <w:szCs w:val="22"/>
                <w:color w:val="auto"/>
              </w:rPr>
            </w:pPr>
          </w:p>
        </w:tc>
      </w:tr>
      <w:tr>
        <w:trPr>
          <w:trHeight w:val="270"/>
        </w:trPr>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Noninterest-bearing cash</w:t>
            </w: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82,405</w:t>
            </w:r>
          </w:p>
        </w:tc>
      </w:tr>
      <w:tr>
        <w:trPr>
          <w:trHeight w:val="270"/>
        </w:trPr>
        <w:tc>
          <w:tcPr>
            <w:tcW w:w="5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Receivables</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120" w:type="dxa"/>
            <w:vAlign w:val="bottom"/>
            <w:shd w:val="clear" w:color="auto" w:fill="CCEEFF"/>
          </w:tcPr>
          <w:p>
            <w:pPr>
              <w:spacing w:after="0"/>
              <w:rPr>
                <w:sz w:val="23"/>
                <w:szCs w:val="23"/>
                <w:color w:val="auto"/>
              </w:rPr>
            </w:pPr>
          </w:p>
        </w:tc>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Employer contributions</w:t>
            </w: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6,554</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564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Participant contributions</w:t>
            </w:r>
          </w:p>
        </w:tc>
        <w:tc>
          <w:tcPr>
            <w:tcW w:w="7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14,755</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0"/>
        </w:trPr>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Investments, at fair value</w:t>
            </w:r>
          </w:p>
        </w:tc>
        <w:tc>
          <w:tcPr>
            <w:tcW w:w="7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257,974,626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286,136,143</w:t>
            </w:r>
          </w:p>
        </w:tc>
      </w:tr>
      <w:tr>
        <w:trPr>
          <w:trHeight w:val="270"/>
        </w:trPr>
        <w:tc>
          <w:tcPr>
            <w:tcW w:w="564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20"/>
                <w:szCs w:val="20"/>
                <w:color w:val="auto"/>
              </w:rPr>
              <w:t>Notes receivable from participants</w:t>
            </w:r>
          </w:p>
        </w:tc>
        <w:tc>
          <w:tcPr>
            <w:tcW w:w="7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6,229,412</w:t>
            </w:r>
          </w:p>
        </w:tc>
        <w:tc>
          <w:tcPr>
            <w:tcW w:w="14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4,932,462</w:t>
            </w:r>
          </w:p>
        </w:tc>
      </w:tr>
      <w:tr>
        <w:trPr>
          <w:trHeight w:val="264"/>
        </w:trPr>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20"/>
                <w:szCs w:val="20"/>
                <w:color w:val="auto"/>
              </w:rPr>
              <w:t>Net assets available for benefits</w:t>
            </w:r>
          </w:p>
        </w:tc>
        <w:tc>
          <w:tcPr>
            <w:tcW w:w="7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264,225,347</w:t>
            </w:r>
          </w:p>
        </w:tc>
        <w:tc>
          <w:tcPr>
            <w:tcW w:w="14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291,151,010</w:t>
            </w:r>
          </w:p>
        </w:tc>
      </w:tr>
      <w:tr>
        <w:trPr>
          <w:trHeight w:val="20"/>
        </w:trPr>
        <w:tc>
          <w:tcPr>
            <w:tcW w:w="12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See accompanying notes to the financial statements</w:t>
      </w:r>
    </w:p>
    <w:p>
      <w:pPr>
        <w:sectPr>
          <w:pgSz w:w="11900" w:h="16838" w:orient="portrait"/>
          <w:cols w:equalWidth="0" w:num="1">
            <w:col w:w="9400"/>
          </w:cols>
          <w:pgMar w:left="1240" w:top="86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9400"/>
          </w:cols>
          <w:pgMar w:left="1240" w:top="865" w:right="1259" w:bottom="1440" w:gutter="0" w:footer="0" w:header="0"/>
          <w:type w:val="continuous"/>
        </w:sectPr>
      </w:pPr>
    </w:p>
    <w:bookmarkStart w:id="5" w:name="page6"/>
    <w:bookmarkEnd w:id="5"/>
    <w:p>
      <w:pPr>
        <w:jc w:val="center"/>
        <w:ind w:right="20"/>
        <w:spacing w:after="0" w:line="300"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 Statement of Changes in Net Assets Available for Benefits For the Years Ended December 31, 2025 and 2024</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6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20"/>
                <w:szCs w:val="20"/>
                <w:color w:val="auto"/>
              </w:rPr>
              <w:t>2025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20"/>
                <w:szCs w:val="20"/>
                <w:color w:val="auto"/>
              </w:rPr>
              <w:t>2024</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Additions</w:t>
            </w: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income</w:t>
            </w: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Dividends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21,173,541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9,198,699</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20"/>
                <w:szCs w:val="20"/>
                <w:color w:val="auto"/>
              </w:rPr>
              <w:t>Net change in fair value of investments</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(36,204,138)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93,268,425</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investment income</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(15,030,597)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102,467,124</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Interest income on notes receivable from participants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473,779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324,534</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Contributions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Employer</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6,507,322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4,707,505</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20"/>
                <w:szCs w:val="20"/>
                <w:color w:val="auto"/>
              </w:rPr>
              <w:t>Participant</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9,509,531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7,137,160</w:t>
            </w: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20"/>
                <w:szCs w:val="20"/>
                <w:color w:val="auto"/>
              </w:rPr>
              <w:t>Rollover</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1,274,936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7,599,899</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Total contributions</w:t>
            </w:r>
          </w:p>
        </w:tc>
        <w:tc>
          <w:tcPr>
            <w:tcW w:w="1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17,291,789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19,444,564</w:t>
            </w: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additions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2,734,971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122,236,222</w:t>
            </w: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Deductions</w:t>
            </w: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66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Benefits paid to participants</w:t>
            </w:r>
          </w:p>
        </w:tc>
        <w:tc>
          <w:tcPr>
            <w:tcW w:w="1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29,381,294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20,597,917</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Administrative expenses</w:t>
            </w:r>
          </w:p>
        </w:tc>
        <w:tc>
          <w:tcPr>
            <w:tcW w:w="14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279,340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208,431</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Total deductions</w:t>
            </w: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29,660,634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20,806,348</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Net change in net assets available for benefits</w:t>
            </w:r>
          </w:p>
        </w:tc>
        <w:tc>
          <w:tcPr>
            <w:tcW w:w="1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(26,925,663)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101,429,874</w:t>
            </w:r>
          </w:p>
        </w:tc>
        <w:tc>
          <w:tcPr>
            <w:tcW w:w="0" w:type="dxa"/>
            <w:vAlign w:val="bottom"/>
          </w:tcPr>
          <w:p>
            <w:pPr>
              <w:spacing w:after="0"/>
              <w:rPr>
                <w:sz w:val="1"/>
                <w:szCs w:val="1"/>
                <w:color w:val="auto"/>
              </w:rPr>
            </w:pPr>
          </w:p>
        </w:tc>
      </w:tr>
      <w:tr>
        <w:trPr>
          <w:trHeight w:val="270"/>
        </w:trPr>
        <w:tc>
          <w:tcPr>
            <w:tcW w:w="66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20"/>
                <w:szCs w:val="20"/>
                <w:color w:val="auto"/>
              </w:rPr>
              <w:t>Net assets available for benefits - beginning of year</w:t>
            </w:r>
          </w:p>
        </w:tc>
        <w:tc>
          <w:tcPr>
            <w:tcW w:w="14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291,151,010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189,721,136</w:t>
            </w:r>
          </w:p>
        </w:tc>
        <w:tc>
          <w:tcPr>
            <w:tcW w:w="0" w:type="dxa"/>
            <w:vAlign w:val="bottom"/>
          </w:tcPr>
          <w:p>
            <w:pPr>
              <w:spacing w:after="0"/>
              <w:rPr>
                <w:sz w:val="1"/>
                <w:szCs w:val="1"/>
                <w:color w:val="auto"/>
              </w:rPr>
            </w:pPr>
          </w:p>
        </w:tc>
      </w:tr>
      <w:tr>
        <w:trPr>
          <w:trHeight w:val="250"/>
        </w:trPr>
        <w:tc>
          <w:tcPr>
            <w:tcW w:w="6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6600" w:type="dxa"/>
            <w:vAlign w:val="bottom"/>
          </w:tcPr>
          <w:p>
            <w:pPr>
              <w:spacing w:after="0"/>
              <w:rPr>
                <w:sz w:val="20"/>
                <w:szCs w:val="20"/>
                <w:color w:val="auto"/>
              </w:rPr>
            </w:pPr>
            <w:r>
              <w:rPr>
                <w:rFonts w:ascii="Times New Roman" w:cs="Times New Roman" w:eastAsia="Times New Roman" w:hAnsi="Times New Roman"/>
                <w:sz w:val="20"/>
                <w:szCs w:val="20"/>
                <w:color w:val="auto"/>
              </w:rPr>
              <w:t>Net assets available for benefits - end of year</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264,225,347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291,151,010</w:t>
            </w: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See accompanying notes to the final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40" w:top="865"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9400"/>
          </w:cols>
          <w:pgMar w:left="1240" w:top="865" w:right="1259" w:bottom="1440" w:gutter="0" w:footer="0" w:header="0"/>
          <w:type w:val="continuous"/>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w:t>
      </w:r>
    </w:p>
    <w:p>
      <w:pPr>
        <w:spacing w:after="0" w:line="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1 – Summary of Significant Plan Provisions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description of the Cal-Maine Foods, Inc. KSOP (the “Plan”) provides only general information.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should refer to the Plan documents for a more complete description of the Plan’s provisions.</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 covers substantially all employees of Cal-MaineFoods, Inc. and its subsidiaries (collectively, the “Company”).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It is subject to the provisions of the Employee Retirement Income Security Act of 1974, as amended (“ERISA”).</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Eligibility</w:t>
      </w:r>
    </w:p>
    <w:p>
      <w:pPr>
        <w:spacing w:after="0" w:line="328"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0"/>
          <w:szCs w:val="20"/>
          <w:color w:val="auto"/>
        </w:rPr>
        <w:t>Each employee, except leased employees, collective bargaining employees, contract employees, and employees of independent contractors shall become eligible to participate in the Plan on the first day of the month following or coinciding with the employee attaining18 years of age and six monthsof service. The Plan includes an auto-enrollment provision whereby all newly eligible employees are automatically enrolled in the Plan unless they affirmatively elect not to participate in the Plan.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Contributions</w:t>
      </w:r>
    </w:p>
    <w:p>
      <w:pPr>
        <w:spacing w:after="0" w:line="32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20"/>
          <w:szCs w:val="20"/>
          <w:color w:val="auto"/>
        </w:rPr>
        <w:t>Participants may contribute a portion of pretax annual compensation, as defined by the Plan Document. Participants may designate all or a portion of their contributions as Roth contributions. Participants who have attained age 50 before the end of the Plan year are eligible to make catch-up contributions. The automatic deferral percentage for new participants is 3% of compensation. A participant may elect not to participate or to defer a different percentage of their compensation. Employee deferrals will automatically increase by one percent (1%) on the first day of each Plan year, up to a maximum of 5%. Participants may contribute amounts representing distributions from other qualified defined benefit or defined contribution plans (rollovers). The Company made safe harbor nonelective contributions equal to 3% of compensation during the years ended December 31, 2025 and 2024. These contributions are initially invested in Cal-Maine Foods, Inc. common stock. The Company can also make additionaldiscretionary nonelective contributions. The Company did not make an additional contribution for the years ended December 31, 2025 or 2024. Contributions are subject to certain Internal Revenue Service (“IRS”) limitations.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Participant accounts</w:t>
      </w:r>
    </w:p>
    <w:p>
      <w:pPr>
        <w:spacing w:after="0" w:line="314"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20"/>
          <w:szCs w:val="20"/>
          <w:color w:val="auto"/>
        </w:rPr>
        <w:t>Each participant’s account is credited with participant and Company contributions and an allocation of Plan earnings/losses, and is charged with applicable withdrawals and administrative expenses. Allocations are based on the participant’s compensation, contributions or account balances, as defined. The benefit to which a participant is entitled is the benefit that can be provided from the participant’s vested account.</w:t>
      </w:r>
    </w:p>
    <w:p>
      <w:pPr>
        <w:spacing w:after="0" w:line="225" w:lineRule="exact"/>
        <w:rPr>
          <w:sz w:val="20"/>
          <w:szCs w:val="20"/>
          <w:color w:val="auto"/>
        </w:rPr>
      </w:pPr>
    </w:p>
    <w:p>
      <w:pPr>
        <w:jc w:val="both"/>
        <w:ind w:right="40"/>
        <w:spacing w:after="0" w:line="344" w:lineRule="auto"/>
        <w:rPr>
          <w:sz w:val="20"/>
          <w:szCs w:val="20"/>
          <w:color w:val="auto"/>
        </w:rPr>
      </w:pPr>
      <w:r>
        <w:rPr>
          <w:rFonts w:ascii="Times New Roman" w:cs="Times New Roman" w:eastAsia="Times New Roman" w:hAnsi="Times New Roman"/>
          <w:sz w:val="19"/>
          <w:szCs w:val="19"/>
          <w:color w:val="auto"/>
        </w:rPr>
        <w:t>A participant, alternate payee of a participant, or beneficiary of a deceased participant has the immediate right to elect to diversify any publicly traded employer securities held in their Company stock account attributable to participating</w:t>
      </w:r>
    </w:p>
    <w:p>
      <w:pPr>
        <w:sectPr>
          <w:pgSz w:w="11900" w:h="16838" w:orient="portrait"/>
          <w:cols w:equalWidth="0" w:num="1">
            <w:col w:w="9460"/>
          </w:cols>
          <w:pgMar w:left="1240" w:top="865" w:right="1199" w:bottom="1440" w:gutter="0" w:footer="0" w:header="0"/>
        </w:sect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9460"/>
          </w:cols>
          <w:pgMar w:left="1240" w:top="865" w:right="1199" w:bottom="1440" w:gutter="0" w:footer="0" w:header="0"/>
          <w:type w:val="continuous"/>
        </w:sectPr>
      </w:pPr>
    </w:p>
    <w:bookmarkStart w:id="7" w:name="page8"/>
    <w:bookmarkEnd w:id="7"/>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w:t>
      </w:r>
    </w:p>
    <w:p>
      <w:pPr>
        <w:spacing w:after="0" w:line="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28"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color w:val="auto"/>
        </w:rPr>
        <w:t>Company contributions and any publicly traded securities held in their safe harbor nonelective contribution Company stock account and reinvest the proceeds in any other investments available under the Plan.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Vesting</w:t>
      </w:r>
    </w:p>
    <w:p>
      <w:pPr>
        <w:spacing w:after="0" w:line="314"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20"/>
          <w:szCs w:val="20"/>
          <w:color w:val="auto"/>
        </w:rPr>
        <w:t>Participants are vested immediately in their contributions and Company safe harbor contributions plus actual earnings thereon.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options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may direct the investment of their interest in the Plan into the investment options offered under the Plan.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Participants may change their investment selections at any time.</w:t>
      </w: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Notes receivable from participants</w:t>
      </w:r>
    </w:p>
    <w:p>
      <w:pPr>
        <w:spacing w:after="0" w:line="328" w:lineRule="exact"/>
        <w:rPr>
          <w:sz w:val="20"/>
          <w:szCs w:val="20"/>
          <w:color w:val="auto"/>
        </w:rPr>
      </w:pPr>
    </w:p>
    <w:p>
      <w:pPr>
        <w:jc w:val="both"/>
        <w:ind w:right="20"/>
        <w:spacing w:after="0" w:line="290" w:lineRule="auto"/>
        <w:rPr>
          <w:sz w:val="20"/>
          <w:szCs w:val="20"/>
          <w:color w:val="auto"/>
        </w:rPr>
      </w:pPr>
      <w:r>
        <w:rPr>
          <w:rFonts w:ascii="Times New Roman" w:cs="Times New Roman" w:eastAsia="Times New Roman" w:hAnsi="Times New Roman"/>
          <w:sz w:val="20"/>
          <w:szCs w:val="20"/>
          <w:color w:val="auto"/>
        </w:rPr>
        <w:t>Participants may borrow from their accounts a minimum of $1,000 up to a maximum of the lesser of $ 50,000 or 50% of the vested interest in their account balance. Note terms range from one to five years or up to 15 years if for the purchase of a primary residence. The notes are secured by the balance in the participant’s account and bear interest at a rate determined by the Plan Administrative Committee equivalent to that charged by major financial institutions in the community. Principal and interest is paid ratably through weekly or biweekly payroll deductions.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Payment of benefits</w:t>
      </w:r>
    </w:p>
    <w:p>
      <w:pPr>
        <w:spacing w:after="0" w:line="31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20"/>
          <w:szCs w:val="20"/>
          <w:color w:val="auto"/>
        </w:rPr>
        <w:t>Benefits are generally payable on termination, retirement, death or disability. If the participant’s vested balance is $5,000 or less, it will be automatically distributed. In-service withdrawalsare allowed from all participant accounts if the participant has attained age59½, at any time from a participant’s rollover account, or once a year from a participant’s non-safe harbor Company stock account and non-elective deferral Company Stock Account for participants with five or more years of participation. In addition, in-service withdrawals are available to participants meeting certain hardship requirements.</w:t>
      </w:r>
    </w:p>
    <w:p>
      <w:pPr>
        <w:spacing w:after="0" w:line="229" w:lineRule="exact"/>
        <w:rPr>
          <w:sz w:val="20"/>
          <w:szCs w:val="20"/>
          <w:color w:val="auto"/>
        </w:rPr>
      </w:pPr>
    </w:p>
    <w:p>
      <w:pPr>
        <w:ind w:right="20"/>
        <w:spacing w:after="0" w:line="315" w:lineRule="auto"/>
        <w:rPr>
          <w:sz w:val="20"/>
          <w:szCs w:val="20"/>
          <w:color w:val="auto"/>
        </w:rPr>
      </w:pPr>
      <w:r>
        <w:rPr>
          <w:rFonts w:ascii="Times New Roman" w:cs="Times New Roman" w:eastAsia="Times New Roman" w:hAnsi="Times New Roman"/>
          <w:sz w:val="20"/>
          <w:szCs w:val="20"/>
          <w:color w:val="auto"/>
        </w:rPr>
        <w:t>Distributions from a participant’s Company stock account are made either in cash or Company stock, as elected by the participant. Non-company stock accounts are distributed in lump sum or installments.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rights of stock</w:t>
      </w:r>
    </w:p>
    <w:p>
      <w:pPr>
        <w:spacing w:after="0" w:line="314"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20"/>
          <w:szCs w:val="20"/>
          <w:color w:val="auto"/>
        </w:rPr>
        <w:t>Each participant shall have the right to direct the committee or trustee as to the manner in which whole and partial shares of the Company’s stock allocated to their accounts as of the record date are to be voted in each matter brought before an annual or special shareholders’ meeting.</w:t>
      </w:r>
    </w:p>
    <w:p>
      <w:pPr>
        <w:sectPr>
          <w:pgSz w:w="11900" w:h="16838" w:orient="portrait"/>
          <w:cols w:equalWidth="0" w:num="1">
            <w:col w:w="9440"/>
          </w:cols>
          <w:pgMar w:left="1240" w:top="865"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900" w:h="16838" w:orient="portrait"/>
          <w:cols w:equalWidth="0" w:num="1">
            <w:col w:w="9440"/>
          </w:cols>
          <w:pgMar w:left="1240" w:top="865" w:right="1219" w:bottom="1440" w:gutter="0" w:footer="0" w:header="0"/>
          <w:type w:val="continuous"/>
        </w:sectPr>
      </w:pPr>
    </w:p>
    <w:bookmarkStart w:id="8" w:name="page9"/>
    <w:bookmarkEnd w:id="8"/>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w:t>
      </w:r>
    </w:p>
    <w:p>
      <w:pPr>
        <w:spacing w:after="0" w:line="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Termination of the Plan</w:t>
      </w:r>
    </w:p>
    <w:p>
      <w:pPr>
        <w:spacing w:after="0" w:line="314" w:lineRule="exact"/>
        <w:rPr>
          <w:sz w:val="20"/>
          <w:szCs w:val="20"/>
          <w:color w:val="auto"/>
        </w:rPr>
      </w:pPr>
    </w:p>
    <w:p>
      <w:pPr>
        <w:jc w:val="both"/>
        <w:ind w:right="60"/>
        <w:spacing w:after="0" w:line="329" w:lineRule="auto"/>
        <w:rPr>
          <w:sz w:val="20"/>
          <w:szCs w:val="20"/>
          <w:color w:val="auto"/>
        </w:rPr>
      </w:pPr>
      <w:r>
        <w:rPr>
          <w:rFonts w:ascii="Times New Roman" w:cs="Times New Roman" w:eastAsia="Times New Roman" w:hAnsi="Times New Roman"/>
          <w:sz w:val="20"/>
          <w:szCs w:val="20"/>
          <w:color w:val="auto"/>
        </w:rPr>
        <w:t>Although it has not expressed any intent to do so, the Company has the right under the Plan to discontinue its contributions at any time and to terminate the Plan subject to the provisions of ERISA.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2 – Summary of Significant Accounting Policies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Basis of accounting</w:t>
      </w:r>
    </w:p>
    <w:p>
      <w:pPr>
        <w:spacing w:after="0" w:line="328" w:lineRule="exact"/>
        <w:rPr>
          <w:sz w:val="20"/>
          <w:szCs w:val="20"/>
          <w:color w:val="auto"/>
        </w:rPr>
      </w:pPr>
    </w:p>
    <w:p>
      <w:pPr>
        <w:jc w:val="both"/>
        <w:ind w:right="20"/>
        <w:spacing w:after="0" w:line="315" w:lineRule="auto"/>
        <w:rPr>
          <w:sz w:val="20"/>
          <w:szCs w:val="20"/>
          <w:color w:val="auto"/>
        </w:rPr>
      </w:pPr>
      <w:r>
        <w:rPr>
          <w:rFonts w:ascii="Times New Roman" w:cs="Times New Roman" w:eastAsia="Times New Roman" w:hAnsi="Times New Roman"/>
          <w:sz w:val="20"/>
          <w:szCs w:val="20"/>
          <w:color w:val="auto"/>
        </w:rPr>
        <w:t>The accompanying financial statements are prepared under the accrual method of accounting in accordance with accounting principles generally accepted in the United States of America.</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Use of Estimates</w:t>
      </w:r>
    </w:p>
    <w:p>
      <w:pPr>
        <w:spacing w:after="0" w:line="328" w:lineRule="exact"/>
        <w:rPr>
          <w:sz w:val="20"/>
          <w:szCs w:val="20"/>
          <w:color w:val="auto"/>
        </w:rPr>
      </w:pPr>
    </w:p>
    <w:p>
      <w:pPr>
        <w:jc w:val="both"/>
        <w:ind w:right="40"/>
        <w:spacing w:after="0" w:line="297"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accounting principles generally accepted in the United States of America requires management to make estimates and assumptions that affect certain reported amounts of assets and liabilities and changes therein, and disclosure of contingent assets and liabilities. Accordingly, actual resultsmay differ from those estimates.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Investment valuation and income recognition</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Investments are reported at fair value.  See Note 3 for a discussion of fair value measurements.</w:t>
      </w:r>
    </w:p>
    <w:p>
      <w:pPr>
        <w:spacing w:after="0" w:line="310" w:lineRule="exact"/>
        <w:rPr>
          <w:sz w:val="20"/>
          <w:szCs w:val="20"/>
          <w:color w:val="auto"/>
        </w:rPr>
      </w:pPr>
    </w:p>
    <w:p>
      <w:pPr>
        <w:jc w:val="both"/>
        <w:ind w:right="20"/>
        <w:spacing w:after="0" w:line="305" w:lineRule="auto"/>
        <w:rPr>
          <w:sz w:val="20"/>
          <w:szCs w:val="20"/>
          <w:color w:val="auto"/>
        </w:rPr>
      </w:pPr>
      <w:r>
        <w:rPr>
          <w:rFonts w:ascii="Times New Roman" w:cs="Times New Roman" w:eastAsia="Times New Roman" w:hAnsi="Times New Roman"/>
          <w:sz w:val="20"/>
          <w:szCs w:val="20"/>
          <w:color w:val="auto"/>
        </w:rPr>
        <w:t>Purchases and sales of securities are recordedon a trade-date basis. Interest is recorded on the accrual basis. Dividends are recorded on the ex -dividend date. Net change in fair value includes the Plan’s gains and losses on investments bought and sold, as well as held during the year.</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Notes receivable from participants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Notes receivable from participants are measured at their unpaid principal balance plus any accrued, but unpaid, interest.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Delinquent notes receivable from participantsare recordedas a distribution based upon the terms of the Plan documents.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Payment of benefits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Benefits are recorded when paid.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Administrative expenses</w:t>
      </w:r>
    </w:p>
    <w:p>
      <w:pPr>
        <w:spacing w:after="0" w:line="328" w:lineRule="exact"/>
        <w:rPr>
          <w:sz w:val="20"/>
          <w:szCs w:val="20"/>
          <w:color w:val="auto"/>
        </w:rPr>
      </w:pPr>
    </w:p>
    <w:p>
      <w:pPr>
        <w:jc w:val="both"/>
        <w:ind w:right="40"/>
        <w:spacing w:after="0" w:line="298" w:lineRule="auto"/>
        <w:rPr>
          <w:sz w:val="20"/>
          <w:szCs w:val="20"/>
          <w:color w:val="auto"/>
        </w:rPr>
      </w:pPr>
      <w:r>
        <w:rPr>
          <w:rFonts w:ascii="Times New Roman" w:cs="Times New Roman" w:eastAsia="Times New Roman" w:hAnsi="Times New Roman"/>
          <w:sz w:val="20"/>
          <w:szCs w:val="20"/>
          <w:color w:val="auto"/>
        </w:rPr>
        <w:t>Certain administrative and recordkeeping fees are paid by the Plan, unless otherwise paid by the Company. Expenses that are paid by the Company are excluded from these financial statements. Fees related to loans and distributions are charged directly to the participants' accounts.</w:t>
      </w:r>
    </w:p>
    <w:p>
      <w:pPr>
        <w:sectPr>
          <w:pgSz w:w="11900" w:h="16838" w:orient="portrait"/>
          <w:cols w:equalWidth="0" w:num="1">
            <w:col w:w="9460"/>
          </w:cols>
          <w:pgMar w:left="1240" w:top="865" w:right="11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8</w:t>
      </w:r>
    </w:p>
    <w:p>
      <w:pPr>
        <w:sectPr>
          <w:pgSz w:w="11900" w:h="16838" w:orient="portrait"/>
          <w:cols w:equalWidth="0" w:num="1">
            <w:col w:w="9460"/>
          </w:cols>
          <w:pgMar w:left="1240" w:top="865" w:right="1199" w:bottom="1440" w:gutter="0" w:footer="0" w:header="0"/>
          <w:type w:val="continuous"/>
        </w:sectPr>
      </w:pPr>
    </w:p>
    <w:bookmarkStart w:id="9" w:name="page10"/>
    <w:bookmarkEnd w:id="9"/>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w:t>
      </w:r>
    </w:p>
    <w:p>
      <w:pPr>
        <w:spacing w:after="0" w:line="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3 – Fair Value Measurements</w:t>
      </w:r>
    </w:p>
    <w:p>
      <w:pPr>
        <w:spacing w:after="0" w:line="314" w:lineRule="exact"/>
        <w:rPr>
          <w:sz w:val="20"/>
          <w:szCs w:val="20"/>
          <w:color w:val="auto"/>
        </w:rPr>
      </w:pPr>
    </w:p>
    <w:p>
      <w:pPr>
        <w:jc w:val="both"/>
        <w:ind w:right="20"/>
        <w:spacing w:after="0" w:line="293" w:lineRule="auto"/>
        <w:rPr>
          <w:sz w:val="20"/>
          <w:szCs w:val="20"/>
          <w:color w:val="auto"/>
        </w:rPr>
      </w:pPr>
      <w:r>
        <w:rPr>
          <w:rFonts w:ascii="Times New Roman" w:cs="Times New Roman" w:eastAsia="Times New Roman" w:hAnsi="Times New Roman"/>
          <w:sz w:val="20"/>
          <w:szCs w:val="20"/>
          <w:color w:val="auto"/>
        </w:rPr>
        <w:t>The Plan is required to categorize both financial and nonfinancial assets and liabilities based on the following fair value hierarchy. The fair value of an asset is the price at which the asset could be sold in an orderly transaction between unrelated, knowledgeable, and willing parties able to engage in the transaction. A liability’s fair value is defined as the amount that would be paid to transfer the liability to a new obligor in a transaction between such parties, not the amount that would be paid to settle the liability with the creditor.</w:t>
      </w:r>
    </w:p>
    <w:p>
      <w:pPr>
        <w:spacing w:after="0" w:line="239" w:lineRule="exact"/>
        <w:rPr>
          <w:sz w:val="20"/>
          <w:szCs w:val="20"/>
          <w:color w:val="auto"/>
        </w:rPr>
      </w:pPr>
    </w:p>
    <w:p>
      <w:pPr>
        <w:ind w:left="660"/>
        <w:spacing w:after="0"/>
        <w:tabs>
          <w:tab w:leader="none" w:pos="9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0"/>
          <w:szCs w:val="20"/>
          <w:i w:val="1"/>
          <w:iCs w:val="1"/>
          <w:color w:val="auto"/>
        </w:rPr>
        <w:t xml:space="preserve">Level 1 </w:t>
      </w:r>
      <w:r>
        <w:rPr>
          <w:rFonts w:ascii="Times New Roman" w:cs="Times New Roman" w:eastAsia="Times New Roman" w:hAnsi="Times New Roman"/>
          <w:sz w:val="20"/>
          <w:szCs w:val="20"/>
          <w:color w:val="auto"/>
        </w:rPr>
        <w:t>- Quoted prices in active markets for identical assets or liabilities</w:t>
      </w:r>
    </w:p>
    <w:p>
      <w:pPr>
        <w:spacing w:after="0" w:line="229" w:lineRule="exact"/>
        <w:rPr>
          <w:sz w:val="20"/>
          <w:szCs w:val="20"/>
          <w:color w:val="auto"/>
        </w:rPr>
      </w:pPr>
    </w:p>
    <w:p>
      <w:pPr>
        <w:ind w:left="980" w:right="40" w:hanging="326"/>
        <w:spacing w:after="0" w:line="283"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Level 2 </w:t>
      </w:r>
      <w:r>
        <w:rPr>
          <w:rFonts w:ascii="Times New Roman" w:cs="Times New Roman" w:eastAsia="Times New Roman" w:hAnsi="Times New Roman"/>
          <w:sz w:val="20"/>
          <w:szCs w:val="20"/>
          <w:color w:val="auto"/>
        </w:rPr>
        <w:t>- Inputs other than quoted prices included in Level 1 that are observable for the asset or liability,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either directly or indirectly, including:</w:t>
      </w:r>
    </w:p>
    <w:p>
      <w:pPr>
        <w:spacing w:after="0" w:line="1" w:lineRule="exact"/>
        <w:rPr>
          <w:rFonts w:ascii="Times New Roman" w:cs="Times New Roman" w:eastAsia="Times New Roman" w:hAnsi="Times New Roman"/>
          <w:sz w:val="18"/>
          <w:szCs w:val="18"/>
          <w:color w:val="auto"/>
        </w:rPr>
      </w:pPr>
    </w:p>
    <w:p>
      <w:pPr>
        <w:ind w:left="1620" w:hanging="318"/>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similar assets or liabilities in active markets</w:t>
      </w:r>
    </w:p>
    <w:p>
      <w:pPr>
        <w:spacing w:after="0" w:line="40" w:lineRule="exact"/>
        <w:rPr>
          <w:rFonts w:ascii="Times New Roman" w:cs="Times New Roman" w:eastAsia="Times New Roman" w:hAnsi="Times New Roman"/>
          <w:sz w:val="18"/>
          <w:szCs w:val="18"/>
          <w:color w:val="auto"/>
        </w:rPr>
      </w:pPr>
    </w:p>
    <w:p>
      <w:pPr>
        <w:ind w:left="1620" w:hanging="318"/>
        <w:spacing w:after="0"/>
        <w:tabs>
          <w:tab w:leader="none" w:pos="16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Quoted prices for identical or similar assets in non-active markets</w:t>
      </w:r>
    </w:p>
    <w:p>
      <w:pPr>
        <w:spacing w:after="0" w:line="40"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0"/>
          <w:szCs w:val="20"/>
          <w:color w:val="auto"/>
        </w:rPr>
        <w:t>Inputs other than quoted prices that are observable for the asset or liability</w:t>
      </w:r>
    </w:p>
    <w:p>
      <w:pPr>
        <w:spacing w:after="0" w:line="54" w:lineRule="exact"/>
        <w:rPr>
          <w:sz w:val="20"/>
          <w:szCs w:val="20"/>
          <w:color w:val="auto"/>
        </w:rPr>
      </w:pPr>
    </w:p>
    <w:p>
      <w:pPr>
        <w:ind w:left="1300"/>
        <w:spacing w:after="0"/>
        <w:tabs>
          <w:tab w:leader="none" w:pos="16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20"/>
          <w:szCs w:val="20"/>
          <w:color w:val="auto"/>
        </w:rPr>
        <w:t>Inputs derived principally from or corroborated by other observable market data</w:t>
      </w:r>
    </w:p>
    <w:p>
      <w:pPr>
        <w:spacing w:after="0" w:line="225" w:lineRule="exact"/>
        <w:rPr>
          <w:sz w:val="20"/>
          <w:szCs w:val="20"/>
          <w:color w:val="auto"/>
        </w:rPr>
      </w:pPr>
    </w:p>
    <w:p>
      <w:pPr>
        <w:ind w:left="980" w:right="60" w:hanging="326"/>
        <w:spacing w:after="0" w:line="30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i w:val="1"/>
          <w:iCs w:val="1"/>
          <w:color w:val="auto"/>
        </w:rPr>
        <w:t xml:space="preserve">Level 3 </w:t>
      </w:r>
      <w:r>
        <w:rPr>
          <w:rFonts w:ascii="Times New Roman" w:cs="Times New Roman" w:eastAsia="Times New Roman" w:hAnsi="Times New Roman"/>
          <w:sz w:val="20"/>
          <w:szCs w:val="20"/>
          <w:color w:val="auto"/>
        </w:rPr>
        <w:t>- Unobservable inputs for the asset or liability that are supported by little or no market activity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that are significant to the fair value of the assets or liabilities</w:t>
      </w:r>
    </w:p>
    <w:p>
      <w:pPr>
        <w:spacing w:after="0" w:line="229" w:lineRule="exact"/>
        <w:rPr>
          <w:sz w:val="20"/>
          <w:szCs w:val="20"/>
          <w:color w:val="auto"/>
        </w:rPr>
      </w:pPr>
    </w:p>
    <w:p>
      <w:pPr>
        <w:jc w:val="both"/>
        <w:ind w:left="340" w:right="60"/>
        <w:spacing w:after="0" w:line="298" w:lineRule="auto"/>
        <w:rPr>
          <w:sz w:val="20"/>
          <w:szCs w:val="20"/>
          <w:color w:val="auto"/>
        </w:rPr>
      </w:pPr>
      <w:r>
        <w:rPr>
          <w:rFonts w:ascii="Times New Roman" w:cs="Times New Roman" w:eastAsia="Times New Roman" w:hAnsi="Times New Roman"/>
          <w:sz w:val="20"/>
          <w:szCs w:val="20"/>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37" w:lineRule="exact"/>
        <w:rPr>
          <w:sz w:val="20"/>
          <w:szCs w:val="20"/>
          <w:color w:val="auto"/>
        </w:rPr>
      </w:pPr>
    </w:p>
    <w:p>
      <w:pPr>
        <w:jc w:val="both"/>
        <w:ind w:left="340" w:right="40"/>
        <w:spacing w:after="0" w:line="315" w:lineRule="auto"/>
        <w:rPr>
          <w:sz w:val="20"/>
          <w:szCs w:val="20"/>
          <w:color w:val="auto"/>
        </w:rPr>
      </w:pPr>
      <w:r>
        <w:rPr>
          <w:rFonts w:ascii="Times New Roman" w:cs="Times New Roman" w:eastAsia="Times New Roman" w:hAnsi="Times New Roman"/>
          <w:sz w:val="20"/>
          <w:szCs w:val="20"/>
          <w:color w:val="auto"/>
        </w:rPr>
        <w:t>The following is a description of the valuation methodologies used for assets measured at fair value. There have been no changes in the methodologies used at December 31, 2025 or 2024:</w:t>
      </w:r>
    </w:p>
    <w:p>
      <w:pPr>
        <w:spacing w:after="0" w:line="229" w:lineRule="exact"/>
        <w:rPr>
          <w:sz w:val="20"/>
          <w:szCs w:val="20"/>
          <w:color w:val="auto"/>
        </w:rPr>
      </w:pPr>
    </w:p>
    <w:p>
      <w:pPr>
        <w:ind w:left="980" w:right="40"/>
        <w:spacing w:after="0" w:line="305" w:lineRule="auto"/>
        <w:rPr>
          <w:sz w:val="20"/>
          <w:szCs w:val="20"/>
          <w:color w:val="auto"/>
        </w:rPr>
      </w:pPr>
      <w:r>
        <w:rPr>
          <w:rFonts w:ascii="Times New Roman" w:cs="Times New Roman" w:eastAsia="Times New Roman" w:hAnsi="Times New Roman"/>
          <w:sz w:val="20"/>
          <w:szCs w:val="20"/>
          <w:i w:val="1"/>
          <w:iCs w:val="1"/>
          <w:color w:val="auto"/>
        </w:rPr>
        <w:t>Common stock and mutual funds</w:t>
      </w:r>
      <w:r>
        <w:rPr>
          <w:rFonts w:ascii="Times New Roman" w:cs="Times New Roman" w:eastAsia="Times New Roman" w:hAnsi="Times New Roman"/>
          <w:sz w:val="20"/>
          <w:szCs w:val="20"/>
          <w:color w:val="auto"/>
        </w:rPr>
        <w:t>: These investments are valued based on quoted market prices at the end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 the Plan year.</w:t>
      </w:r>
    </w:p>
    <w:p>
      <w:pPr>
        <w:spacing w:after="0" w:line="225" w:lineRule="exact"/>
        <w:rPr>
          <w:sz w:val="20"/>
          <w:szCs w:val="20"/>
          <w:color w:val="auto"/>
        </w:rPr>
      </w:pPr>
    </w:p>
    <w:p>
      <w:pPr>
        <w:jc w:val="both"/>
        <w:ind w:left="980"/>
        <w:spacing w:after="0" w:line="299" w:lineRule="auto"/>
        <w:rPr>
          <w:sz w:val="20"/>
          <w:szCs w:val="20"/>
          <w:color w:val="auto"/>
        </w:rPr>
      </w:pPr>
      <w:r>
        <w:rPr>
          <w:rFonts w:ascii="Times New Roman" w:cs="Times New Roman" w:eastAsia="Times New Roman" w:hAnsi="Times New Roman"/>
          <w:sz w:val="20"/>
          <w:szCs w:val="20"/>
          <w:i w:val="1"/>
          <w:iCs w:val="1"/>
          <w:color w:val="auto"/>
        </w:rPr>
        <w:t>Common collective trust funds</w:t>
      </w:r>
      <w:r>
        <w:rPr>
          <w:rFonts w:ascii="Times New Roman" w:cs="Times New Roman" w:eastAsia="Times New Roman" w:hAnsi="Times New Roman"/>
          <w:sz w:val="20"/>
          <w:szCs w:val="20"/>
          <w:color w:val="auto"/>
        </w:rPr>
        <w:t>: This investment is valued based on the net asset value (“NAV”) of units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held by the Plan at year end, as calculated by the issuer, as a practical expedient to estimate fair value. NAV is calculated based on the fair value of the underlying assets owned by the fund, minus its liabilities, divided by the number of units outstanding.</w:t>
      </w:r>
    </w:p>
    <w:p>
      <w:pPr>
        <w:spacing w:after="0" w:line="221" w:lineRule="exact"/>
        <w:rPr>
          <w:sz w:val="20"/>
          <w:szCs w:val="20"/>
          <w:color w:val="auto"/>
        </w:rPr>
      </w:pPr>
    </w:p>
    <w:p>
      <w:pPr>
        <w:jc w:val="both"/>
        <w:ind w:left="340"/>
        <w:spacing w:after="0" w:line="293" w:lineRule="auto"/>
        <w:rPr>
          <w:sz w:val="20"/>
          <w:szCs w:val="20"/>
          <w:color w:val="auto"/>
        </w:rPr>
      </w:pPr>
      <w:r>
        <w:rPr>
          <w:rFonts w:ascii="Times New Roman" w:cs="Times New Roman" w:eastAsia="Times New Roman" w:hAnsi="Times New Roman"/>
          <w:sz w:val="20"/>
          <w:szCs w:val="20"/>
          <w:color w:val="auto"/>
        </w:rPr>
        <w:t>The preceding methods described may produce a fair value calculation that may not be indicative of net realizable value or reflective of future fair values. Furthermore, although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ectPr>
          <w:pgSz w:w="11900" w:h="16838" w:orient="portrait"/>
          <w:cols w:equalWidth="0" w:num="1">
            <w:col w:w="9460"/>
          </w:cols>
          <w:pgMar w:left="1240" w:top="86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9</w:t>
      </w:r>
    </w:p>
    <w:p>
      <w:pPr>
        <w:sectPr>
          <w:pgSz w:w="11900" w:h="16838" w:orient="portrait"/>
          <w:cols w:equalWidth="0" w:num="1">
            <w:col w:w="9460"/>
          </w:cols>
          <w:pgMar w:left="1240" w:top="865" w:right="1199" w:bottom="1440" w:gutter="0" w:footer="0" w:header="0"/>
          <w:type w:val="continuous"/>
        </w:sectPr>
      </w:pPr>
    </w:p>
    <w:bookmarkStart w:id="10" w:name="page11"/>
    <w:bookmarkEnd w:id="10"/>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w:t>
      </w:r>
    </w:p>
    <w:p>
      <w:pPr>
        <w:spacing w:after="0" w:line="4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4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The following table sets forth the Plan’s assets at fair value.</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2025</w:t>
            </w: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Level 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3</w:t>
            </w:r>
          </w:p>
        </w:tc>
        <w:tc>
          <w:tcPr>
            <w:tcW w:w="20" w:type="dxa"/>
            <w:vAlign w:val="bottom"/>
          </w:tcPr>
          <w:p>
            <w:pPr>
              <w:spacing w:after="0"/>
              <w:rPr>
                <w:sz w:val="21"/>
                <w:szCs w:val="21"/>
                <w:color w:val="auto"/>
              </w:rPr>
            </w:pP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20"/>
                <w:szCs w:val="20"/>
                <w:color w:val="auto"/>
              </w:rPr>
              <w:t>Total</w:t>
            </w:r>
          </w:p>
        </w:tc>
      </w:tr>
      <w:tr>
        <w:trPr>
          <w:trHeight w:val="250"/>
        </w:trPr>
        <w:tc>
          <w:tcPr>
            <w:tcW w:w="3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r>
      <w:tr>
        <w:trPr>
          <w:trHeight w:val="270"/>
        </w:trPr>
        <w:tc>
          <w:tcPr>
            <w:tcW w:w="3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Cal-Maine Foods, Inc. common stock</w:t>
            </w:r>
          </w:p>
        </w:tc>
        <w:tc>
          <w:tcPr>
            <w:tcW w:w="1580" w:type="dxa"/>
            <w:vAlign w:val="bottom"/>
            <w:gridSpan w:val="3"/>
          </w:tcPr>
          <w:p>
            <w:pPr>
              <w:jc w:val="center"/>
              <w:ind w:left="139"/>
              <w:spacing w:after="0"/>
              <w:rPr>
                <w:sz w:val="20"/>
                <w:szCs w:val="20"/>
                <w:color w:val="auto"/>
              </w:rPr>
            </w:pPr>
            <w:r>
              <w:rPr>
                <w:rFonts w:ascii="Times New Roman" w:cs="Times New Roman" w:eastAsia="Times New Roman" w:hAnsi="Times New Roman"/>
                <w:sz w:val="20"/>
                <w:szCs w:val="20"/>
                <w:color w:val="auto"/>
              </w:rPr>
              <w:t>$ 150,927,930</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$ 150,927,930</w:t>
            </w:r>
          </w:p>
        </w:tc>
      </w:tr>
      <w:tr>
        <w:trPr>
          <w:trHeight w:val="270"/>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Mutual funds</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104,260,825</w:t>
            </w:r>
          </w:p>
        </w:tc>
        <w:tc>
          <w:tcPr>
            <w:tcW w:w="20" w:type="dxa"/>
            <w:vAlign w:val="bottom"/>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20"/>
                <w:szCs w:val="20"/>
                <w:color w:val="auto"/>
                <w:shd w:val="clear" w:color="auto" w:fill="CCEEFF"/>
              </w:rPr>
              <w:t>104,260,825</w:t>
            </w:r>
          </w:p>
        </w:tc>
      </w:tr>
      <w:tr>
        <w:trPr>
          <w:trHeight w:val="309"/>
        </w:trPr>
        <w:tc>
          <w:tcPr>
            <w:tcW w:w="3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80" w:type="dxa"/>
            <w:vAlign w:val="bottom"/>
            <w:tcBorders>
              <w:bottom w:val="single" w:sz="8" w:color="CCEEFF"/>
            </w:tcBorders>
            <w:gridSpan w:val="2"/>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$ 255,188,755</w:t>
            </w:r>
          </w:p>
        </w:tc>
        <w:tc>
          <w:tcPr>
            <w:tcW w:w="14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rPr>
              <w:t>$ 255,188,755</w:t>
            </w:r>
          </w:p>
        </w:tc>
      </w:tr>
      <w:tr>
        <w:trPr>
          <w:trHeight w:val="223"/>
        </w:trPr>
        <w:tc>
          <w:tcPr>
            <w:tcW w:w="36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70"/>
        </w:trPr>
        <w:tc>
          <w:tcPr>
            <w:tcW w:w="3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Investments measured at net asset value*</w:t>
            </w:r>
          </w:p>
        </w:tc>
        <w:tc>
          <w:tcPr>
            <w:tcW w:w="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20"/>
                <w:szCs w:val="20"/>
                <w:color w:val="auto"/>
              </w:rPr>
              <w:t>2,785,871</w:t>
            </w:r>
          </w:p>
        </w:tc>
      </w:tr>
      <w:tr>
        <w:trPr>
          <w:trHeight w:val="250"/>
        </w:trPr>
        <w:tc>
          <w:tcPr>
            <w:tcW w:w="3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323"/>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at fair value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$ 257,974,626</w:t>
            </w:r>
          </w:p>
        </w:tc>
      </w:tr>
      <w:tr>
        <w:trPr>
          <w:trHeight w:val="223"/>
        </w:trPr>
        <w:tc>
          <w:tcPr>
            <w:tcW w:w="36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70"/>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December 31, 2024</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Level 1</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20"/>
                <w:szCs w:val="20"/>
                <w:color w:val="auto"/>
              </w:rPr>
              <w:t>Level 2</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20"/>
                <w:szCs w:val="20"/>
                <w:color w:val="auto"/>
              </w:rPr>
              <w:t>Level 3</w:t>
            </w:r>
          </w:p>
        </w:tc>
        <w:tc>
          <w:tcPr>
            <w:tcW w:w="20" w:type="dxa"/>
            <w:vAlign w:val="bottom"/>
          </w:tcPr>
          <w:p>
            <w:pPr>
              <w:spacing w:after="0"/>
              <w:rPr>
                <w:sz w:val="23"/>
                <w:szCs w:val="23"/>
                <w:color w:val="auto"/>
              </w:rPr>
            </w:pPr>
          </w:p>
        </w:tc>
        <w:tc>
          <w:tcPr>
            <w:tcW w:w="1360" w:type="dxa"/>
            <w:vAlign w:val="bottom"/>
          </w:tcPr>
          <w:p>
            <w:pPr>
              <w:jc w:val="right"/>
              <w:ind w:right="399"/>
              <w:spacing w:after="0"/>
              <w:rPr>
                <w:sz w:val="20"/>
                <w:szCs w:val="20"/>
                <w:color w:val="auto"/>
              </w:rPr>
            </w:pPr>
            <w:r>
              <w:rPr>
                <w:rFonts w:ascii="Times New Roman" w:cs="Times New Roman" w:eastAsia="Times New Roman" w:hAnsi="Times New Roman"/>
                <w:sz w:val="20"/>
                <w:szCs w:val="20"/>
                <w:color w:val="auto"/>
              </w:rPr>
              <w:t>Total</w:t>
            </w:r>
          </w:p>
        </w:tc>
      </w:tr>
      <w:tr>
        <w:trPr>
          <w:trHeight w:val="250"/>
        </w:trPr>
        <w:tc>
          <w:tcPr>
            <w:tcW w:w="36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Assets</w:t>
            </w:r>
          </w:p>
        </w:tc>
        <w:tc>
          <w:tcPr>
            <w:tcW w:w="2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1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r>
      <w:tr>
        <w:trPr>
          <w:trHeight w:val="270"/>
        </w:trPr>
        <w:tc>
          <w:tcPr>
            <w:tcW w:w="3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Cal-Maine Foods, Inc. common stock</w:t>
            </w:r>
          </w:p>
        </w:tc>
        <w:tc>
          <w:tcPr>
            <w:tcW w:w="1580" w:type="dxa"/>
            <w:vAlign w:val="bottom"/>
            <w:gridSpan w:val="3"/>
          </w:tcPr>
          <w:p>
            <w:pPr>
              <w:jc w:val="center"/>
              <w:ind w:left="139"/>
              <w:spacing w:after="0"/>
              <w:rPr>
                <w:sz w:val="20"/>
                <w:szCs w:val="20"/>
                <w:color w:val="auto"/>
              </w:rPr>
            </w:pPr>
            <w:r>
              <w:rPr>
                <w:rFonts w:ascii="Times New Roman" w:cs="Times New Roman" w:eastAsia="Times New Roman" w:hAnsi="Times New Roman"/>
                <w:sz w:val="20"/>
                <w:szCs w:val="20"/>
                <w:color w:val="auto"/>
              </w:rPr>
              <w:t>$ 196,595,844</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$ 196,595,844</w:t>
            </w:r>
          </w:p>
        </w:tc>
      </w:tr>
      <w:tr>
        <w:trPr>
          <w:trHeight w:val="270"/>
        </w:trPr>
        <w:tc>
          <w:tcPr>
            <w:tcW w:w="3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Mutual funds</w:t>
            </w:r>
          </w:p>
        </w:tc>
        <w:tc>
          <w:tcPr>
            <w:tcW w:w="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86,910,290</w:t>
            </w:r>
          </w:p>
        </w:tc>
        <w:tc>
          <w:tcPr>
            <w:tcW w:w="20" w:type="dxa"/>
            <w:vAlign w:val="bottom"/>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20"/>
                <w:szCs w:val="20"/>
                <w:color w:val="auto"/>
                <w:shd w:val="clear" w:color="auto" w:fill="CCEEFF"/>
              </w:rPr>
              <w:t>86,910,290</w:t>
            </w:r>
          </w:p>
        </w:tc>
      </w:tr>
      <w:tr>
        <w:trPr>
          <w:trHeight w:val="308"/>
        </w:trPr>
        <w:tc>
          <w:tcPr>
            <w:tcW w:w="3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Total assets measured at fair value</w:t>
            </w:r>
          </w:p>
        </w:tc>
        <w:tc>
          <w:tcPr>
            <w:tcW w:w="280" w:type="dxa"/>
            <w:vAlign w:val="bottom"/>
            <w:tcBorders>
              <w:bottom w:val="single" w:sz="8" w:color="CCEEFF"/>
            </w:tcBorders>
            <w:gridSpan w:val="2"/>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$ 283,506,134</w:t>
            </w:r>
          </w:p>
        </w:tc>
        <w:tc>
          <w:tcPr>
            <w:tcW w:w="140" w:type="dxa"/>
            <w:vAlign w:val="bottom"/>
            <w:tcBorders>
              <w:bottom w:val="single" w:sz="8" w:color="CCEEFF"/>
            </w:tcBorders>
            <w:gridSpan w:val="2"/>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20"/>
                <w:szCs w:val="20"/>
                <w:color w:val="auto"/>
              </w:rPr>
              <w:t>$ 283,506,134</w:t>
            </w:r>
          </w:p>
        </w:tc>
      </w:tr>
      <w:tr>
        <w:trPr>
          <w:trHeight w:val="224"/>
        </w:trPr>
        <w:tc>
          <w:tcPr>
            <w:tcW w:w="36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spacing w:after="0"/>
              <w:rPr>
                <w:sz w:val="19"/>
                <w:szCs w:val="19"/>
                <w:color w:val="auto"/>
              </w:rPr>
            </w:pPr>
          </w:p>
        </w:tc>
      </w:tr>
      <w:tr>
        <w:trPr>
          <w:trHeight w:val="283"/>
        </w:trPr>
        <w:tc>
          <w:tcPr>
            <w:tcW w:w="36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Investments measured at net asset value*</w:t>
            </w: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80" w:type="dxa"/>
            <w:vAlign w:val="bottom"/>
            <w:tcBorders>
              <w:bottom w:val="single" w:sz="8" w:color="auto"/>
            </w:tcBorders>
            <w:gridSpan w:val="2"/>
          </w:tcPr>
          <w:p>
            <w:pPr>
              <w:jc w:val="right"/>
              <w:ind w:right="19"/>
              <w:spacing w:after="0"/>
              <w:rPr>
                <w:sz w:val="20"/>
                <w:szCs w:val="20"/>
                <w:color w:val="auto"/>
              </w:rPr>
            </w:pPr>
            <w:r>
              <w:rPr>
                <w:rFonts w:ascii="Times New Roman" w:cs="Times New Roman" w:eastAsia="Times New Roman" w:hAnsi="Times New Roman"/>
                <w:sz w:val="20"/>
                <w:szCs w:val="20"/>
                <w:color w:val="auto"/>
              </w:rPr>
              <w:t>2,630,009</w:t>
            </w:r>
          </w:p>
        </w:tc>
      </w:tr>
      <w:tr>
        <w:trPr>
          <w:trHeight w:val="250"/>
        </w:trPr>
        <w:tc>
          <w:tcPr>
            <w:tcW w:w="36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83"/>
        </w:trPr>
        <w:tc>
          <w:tcPr>
            <w:tcW w:w="3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Investment at fair value</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20"/>
                <w:szCs w:val="20"/>
                <w:color w:val="auto"/>
              </w:rPr>
              <w:t>$ 286,136,143</w:t>
            </w: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jc w:val="both"/>
        <w:ind w:left="340" w:right="100" w:hanging="10"/>
        <w:spacing w:after="0" w:line="286" w:lineRule="auto"/>
        <w:tabs>
          <w:tab w:leader="none" w:pos="522"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investment measured at fair value using the net asset value per share (or its equivalent) practical expedient has not been classified in the fair value hierarchy. The fair value amount includedabove is intended to permit reconciliationof the fair value hierarchyto the amounts presented in the statementsof net assets available for benefits.</w:t>
      </w:r>
    </w:p>
    <w:p>
      <w:pPr>
        <w:spacing w:after="0" w:line="220" w:lineRule="exact"/>
        <w:rPr>
          <w:sz w:val="20"/>
          <w:szCs w:val="20"/>
          <w:color w:val="auto"/>
        </w:rPr>
      </w:pPr>
    </w:p>
    <w:p>
      <w:pPr>
        <w:ind w:left="340" w:right="120"/>
        <w:spacing w:after="0" w:line="315" w:lineRule="auto"/>
        <w:rPr>
          <w:sz w:val="20"/>
          <w:szCs w:val="20"/>
          <w:color w:val="auto"/>
        </w:rPr>
      </w:pPr>
      <w:r>
        <w:rPr>
          <w:rFonts w:ascii="Times New Roman" w:cs="Times New Roman" w:eastAsia="Times New Roman" w:hAnsi="Times New Roman"/>
          <w:sz w:val="20"/>
          <w:szCs w:val="20"/>
          <w:color w:val="auto"/>
        </w:rPr>
        <w:t>The following table summarizesinvestments for which fair value is measured usingthe NAV per share as a practical expedient.</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Unfunded</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4"/>
              </w:rPr>
              <w:t>Redemption</w:t>
            </w:r>
          </w:p>
        </w:tc>
        <w:tc>
          <w:tcPr>
            <w:tcW w:w="180" w:type="dxa"/>
            <w:vAlign w:val="bottom"/>
          </w:tcPr>
          <w:p>
            <w:pPr>
              <w:spacing w:after="0"/>
              <w:rPr>
                <w:sz w:val="21"/>
                <w:szCs w:val="21"/>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Redemption</w:t>
            </w: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 w:type="dxa"/>
            <w:vAlign w:val="bottom"/>
          </w:tcPr>
          <w:p>
            <w:pPr>
              <w:spacing w:after="0" w:line="20" w:lineRule="exact"/>
              <w:rPr>
                <w:sz w:val="1"/>
                <w:szCs w:val="1"/>
                <w:color w:val="auto"/>
              </w:rPr>
            </w:pPr>
          </w:p>
        </w:tc>
        <w:tc>
          <w:tcPr>
            <w:tcW w:w="7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50" w:type="dxa"/>
            <w:vAlign w:val="bottom"/>
            <w:gridSpan w:val="3"/>
          </w:tcPr>
          <w:p>
            <w:pPr>
              <w:jc w:val="right"/>
              <w:ind w:right="310"/>
              <w:spacing w:after="0"/>
              <w:rPr>
                <w:sz w:val="20"/>
                <w:szCs w:val="20"/>
                <w:color w:val="auto"/>
              </w:rPr>
            </w:pPr>
            <w:r>
              <w:rPr>
                <w:rFonts w:ascii="Times New Roman" w:cs="Times New Roman" w:eastAsia="Times New Roman" w:hAnsi="Times New Roman"/>
                <w:sz w:val="20"/>
                <w:szCs w:val="20"/>
                <w:color w:val="auto"/>
              </w:rPr>
              <w:t>Fair Value</w:t>
            </w:r>
          </w:p>
        </w:tc>
        <w:tc>
          <w:tcPr>
            <w:tcW w:w="1250" w:type="dxa"/>
            <w:vAlign w:val="bottom"/>
            <w:gridSpan w:val="4"/>
          </w:tcPr>
          <w:p>
            <w:pPr>
              <w:ind w:left="70"/>
              <w:spacing w:after="0"/>
              <w:rPr>
                <w:sz w:val="20"/>
                <w:szCs w:val="20"/>
                <w:color w:val="auto"/>
              </w:rPr>
            </w:pPr>
            <w:r>
              <w:rPr>
                <w:rFonts w:ascii="Times New Roman" w:cs="Times New Roman" w:eastAsia="Times New Roman" w:hAnsi="Times New Roman"/>
                <w:sz w:val="20"/>
                <w:szCs w:val="20"/>
                <w:color w:val="auto"/>
              </w:rPr>
              <w:t>Commitments</w:t>
            </w:r>
          </w:p>
        </w:tc>
        <w:tc>
          <w:tcPr>
            <w:tcW w:w="26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Frequency</w:t>
            </w:r>
          </w:p>
        </w:tc>
        <w:tc>
          <w:tcPr>
            <w:tcW w:w="180" w:type="dxa"/>
            <w:vAlign w:val="bottom"/>
          </w:tcPr>
          <w:p>
            <w:pPr>
              <w:spacing w:after="0"/>
              <w:rPr>
                <w:sz w:val="21"/>
                <w:szCs w:val="21"/>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Notice Period</w:t>
            </w:r>
          </w:p>
        </w:tc>
        <w:tc>
          <w:tcPr>
            <w:tcW w:w="6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2025</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250" w:type="dxa"/>
            <w:vAlign w:val="bottom"/>
          </w:tcPr>
          <w:p>
            <w:pPr>
              <w:spacing w:after="0"/>
              <w:rPr>
                <w:sz w:val="21"/>
                <w:szCs w:val="21"/>
                <w:color w:val="auto"/>
              </w:rPr>
            </w:pPr>
          </w:p>
        </w:tc>
        <w:tc>
          <w:tcPr>
            <w:tcW w:w="7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50" w:type="dxa"/>
            <w:vAlign w:val="bottom"/>
            <w:gridSpan w:val="3"/>
          </w:tcPr>
          <w:p>
            <w:pPr>
              <w:spacing w:after="0" w:line="20" w:lineRule="exact"/>
              <w:rPr>
                <w:sz w:val="1"/>
                <w:szCs w:val="1"/>
                <w:color w:val="auto"/>
              </w:rPr>
            </w:pPr>
          </w:p>
        </w:tc>
        <w:tc>
          <w:tcPr>
            <w:tcW w:w="125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Common collective trust fund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 w:type="dxa"/>
            <w:vAlign w:val="bottom"/>
          </w:tcPr>
          <w:p>
            <w:pPr>
              <w:spacing w:after="0"/>
              <w:rPr>
                <w:sz w:val="22"/>
                <w:szCs w:val="22"/>
                <w:color w:val="auto"/>
              </w:rPr>
            </w:pPr>
          </w:p>
        </w:tc>
        <w:tc>
          <w:tcPr>
            <w:tcW w:w="125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20"/>
                <w:szCs w:val="20"/>
                <w:color w:val="auto"/>
              </w:rPr>
              <w:t>2,785,871</w:t>
            </w:r>
          </w:p>
        </w:tc>
        <w:tc>
          <w:tcPr>
            <w:tcW w:w="1250" w:type="dxa"/>
            <w:vAlign w:val="bottom"/>
            <w:gridSpan w:val="4"/>
            <w:shd w:val="clear" w:color="auto" w:fill="CCEEFF"/>
          </w:tcPr>
          <w:p>
            <w:pPr>
              <w:ind w:left="70"/>
              <w:spacing w:after="0"/>
              <w:rPr>
                <w:sz w:val="20"/>
                <w:szCs w:val="20"/>
                <w:color w:val="auto"/>
              </w:rPr>
            </w:pPr>
            <w:r>
              <w:rPr>
                <w:rFonts w:ascii="Times New Roman" w:cs="Times New Roman" w:eastAsia="Times New Roman" w:hAnsi="Times New Roman"/>
                <w:sz w:val="20"/>
                <w:szCs w:val="20"/>
                <w:color w:val="auto"/>
              </w:rPr>
              <w:t>N/A</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Daily</w:t>
            </w:r>
          </w:p>
        </w:tc>
        <w:tc>
          <w:tcPr>
            <w:tcW w:w="13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None</w:t>
            </w:r>
          </w:p>
        </w:tc>
        <w:tc>
          <w:tcPr>
            <w:tcW w:w="60" w:type="dxa"/>
            <w:vAlign w:val="bottom"/>
            <w:shd w:val="clear" w:color="auto" w:fill="CCEEFF"/>
          </w:tcPr>
          <w:p>
            <w:pPr>
              <w:spacing w:after="0"/>
              <w:rPr>
                <w:sz w:val="22"/>
                <w:szCs w:val="22"/>
                <w:color w:val="auto"/>
              </w:rPr>
            </w:pPr>
          </w:p>
        </w:tc>
      </w:tr>
      <w:tr>
        <w:trPr>
          <w:trHeight w:val="527"/>
        </w:trPr>
        <w:tc>
          <w:tcPr>
            <w:tcW w:w="40" w:type="dxa"/>
            <w:vAlign w:val="bottom"/>
          </w:tcPr>
          <w:p>
            <w:pPr>
              <w:spacing w:after="0"/>
              <w:rPr>
                <w:sz w:val="24"/>
                <w:szCs w:val="24"/>
                <w:color w:val="auto"/>
              </w:rPr>
            </w:pPr>
          </w:p>
        </w:tc>
        <w:tc>
          <w:tcPr>
            <w:tcW w:w="40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December 31, 2024</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 w:type="dxa"/>
            <w:vAlign w:val="bottom"/>
          </w:tcPr>
          <w:p>
            <w:pPr>
              <w:spacing w:after="0"/>
              <w:rPr>
                <w:sz w:val="24"/>
                <w:szCs w:val="24"/>
                <w:color w:val="auto"/>
              </w:rPr>
            </w:pPr>
          </w:p>
        </w:tc>
        <w:tc>
          <w:tcPr>
            <w:tcW w:w="7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70" w:type="dxa"/>
            <w:vAlign w:val="bottom"/>
            <w:gridSpan w:val="4"/>
          </w:tcPr>
          <w:p>
            <w:pPr>
              <w:spacing w:after="0" w:line="20" w:lineRule="exact"/>
              <w:rPr>
                <w:sz w:val="1"/>
                <w:szCs w:val="1"/>
                <w:color w:val="auto"/>
              </w:rPr>
            </w:pPr>
          </w:p>
        </w:tc>
        <w:tc>
          <w:tcPr>
            <w:tcW w:w="125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0" w:type="dxa"/>
            <w:vAlign w:val="bottom"/>
            <w:shd w:val="clear" w:color="auto" w:fill="CCEEFF"/>
          </w:tcPr>
          <w:p>
            <w:pPr>
              <w:spacing w:after="0"/>
              <w:rPr>
                <w:sz w:val="22"/>
                <w:szCs w:val="22"/>
                <w:color w:val="auto"/>
              </w:rPr>
            </w:pPr>
          </w:p>
        </w:tc>
        <w:tc>
          <w:tcPr>
            <w:tcW w:w="40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Common collective trust fund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w:t>
            </w:r>
          </w:p>
        </w:tc>
        <w:tc>
          <w:tcPr>
            <w:tcW w:w="20" w:type="dxa"/>
            <w:vAlign w:val="bottom"/>
          </w:tcPr>
          <w:p>
            <w:pPr>
              <w:spacing w:after="0"/>
              <w:rPr>
                <w:sz w:val="22"/>
                <w:szCs w:val="22"/>
                <w:color w:val="auto"/>
              </w:rPr>
            </w:pPr>
          </w:p>
        </w:tc>
        <w:tc>
          <w:tcPr>
            <w:tcW w:w="125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20"/>
                <w:szCs w:val="20"/>
                <w:color w:val="auto"/>
              </w:rPr>
              <w:t>2,630,009</w:t>
            </w:r>
          </w:p>
        </w:tc>
        <w:tc>
          <w:tcPr>
            <w:tcW w:w="1250" w:type="dxa"/>
            <w:vAlign w:val="bottom"/>
            <w:gridSpan w:val="4"/>
            <w:shd w:val="clear" w:color="auto" w:fill="CCEEFF"/>
          </w:tcPr>
          <w:p>
            <w:pPr>
              <w:ind w:left="70"/>
              <w:spacing w:after="0"/>
              <w:rPr>
                <w:sz w:val="20"/>
                <w:szCs w:val="20"/>
                <w:color w:val="auto"/>
              </w:rPr>
            </w:pPr>
            <w:r>
              <w:rPr>
                <w:rFonts w:ascii="Times New Roman" w:cs="Times New Roman" w:eastAsia="Times New Roman" w:hAnsi="Times New Roman"/>
                <w:sz w:val="20"/>
                <w:szCs w:val="20"/>
                <w:color w:val="auto"/>
              </w:rPr>
              <w:t>N/A</w:t>
            </w:r>
          </w:p>
        </w:tc>
        <w:tc>
          <w:tcPr>
            <w:tcW w:w="122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20"/>
                <w:szCs w:val="20"/>
                <w:color w:val="auto"/>
              </w:rPr>
              <w:t>Daily</w:t>
            </w:r>
          </w:p>
        </w:tc>
        <w:tc>
          <w:tcPr>
            <w:tcW w:w="134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20"/>
                <w:szCs w:val="20"/>
                <w:color w:val="auto"/>
              </w:rPr>
              <w:t>None</w:t>
            </w:r>
          </w:p>
        </w:tc>
        <w:tc>
          <w:tcPr>
            <w:tcW w:w="6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4 – Risks and Uncertainties</w:t>
      </w:r>
    </w:p>
    <w:p>
      <w:pPr>
        <w:spacing w:after="0" w:line="314" w:lineRule="exact"/>
        <w:rPr>
          <w:sz w:val="20"/>
          <w:szCs w:val="20"/>
          <w:color w:val="auto"/>
        </w:rPr>
      </w:pPr>
    </w:p>
    <w:p>
      <w:pPr>
        <w:ind w:left="340" w:right="120"/>
        <w:spacing w:after="0" w:line="315" w:lineRule="auto"/>
        <w:rPr>
          <w:sz w:val="20"/>
          <w:szCs w:val="20"/>
          <w:color w:val="auto"/>
        </w:rPr>
      </w:pPr>
      <w:r>
        <w:rPr>
          <w:rFonts w:ascii="Times New Roman" w:cs="Times New Roman" w:eastAsia="Times New Roman" w:hAnsi="Times New Roman"/>
          <w:sz w:val="20"/>
          <w:szCs w:val="20"/>
          <w:color w:val="auto"/>
        </w:rPr>
        <w:t>There is a high concentration of the Company's stock owned by the Plan. As of December 31, 2025 and 2024, approximately 57% and 68% of the Plan's assets were invested in the Company's common stock, respectively.</w:t>
      </w:r>
    </w:p>
    <w:p>
      <w:pPr>
        <w:sectPr>
          <w:pgSz w:w="11900" w:h="16838" w:orient="portrait"/>
          <w:cols w:equalWidth="0" w:num="1">
            <w:col w:w="9540"/>
          </w:cols>
          <w:pgMar w:left="1240" w:top="865" w:right="1119" w:bottom="1440" w:gutter="0" w:footer="0" w:header="0"/>
        </w:sectPr>
      </w:pPr>
    </w:p>
    <w:p>
      <w:pPr>
        <w:spacing w:after="0" w:line="36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20"/>
          <w:szCs w:val="20"/>
          <w:color w:val="auto"/>
        </w:rPr>
        <w:t>10</w:t>
      </w:r>
    </w:p>
    <w:p>
      <w:pPr>
        <w:sectPr>
          <w:pgSz w:w="11900" w:h="16838" w:orient="portrait"/>
          <w:cols w:equalWidth="0" w:num="1">
            <w:col w:w="9540"/>
          </w:cols>
          <w:pgMar w:left="1240" w:top="865" w:right="1119" w:bottom="1440" w:gutter="0" w:footer="0" w:header="0"/>
          <w:type w:val="continuous"/>
        </w:sectPr>
      </w:pPr>
    </w:p>
    <w:bookmarkStart w:id="11" w:name="page12"/>
    <w:bookmarkEnd w:id="11"/>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CAL-MAINE FOODS, INC. KSOP</w:t>
      </w:r>
    </w:p>
    <w:p>
      <w:pPr>
        <w:spacing w:after="0" w:line="4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Notes to Financial Statements</w:t>
      </w:r>
    </w:p>
    <w:p>
      <w:pPr>
        <w:spacing w:after="0" w:line="4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December 31, 2025 and 2024</w:t>
      </w:r>
    </w:p>
    <w:p>
      <w:pPr>
        <w:spacing w:after="0" w:line="328" w:lineRule="exact"/>
        <w:rPr>
          <w:sz w:val="20"/>
          <w:szCs w:val="20"/>
          <w:color w:val="auto"/>
        </w:rPr>
      </w:pPr>
    </w:p>
    <w:p>
      <w:pPr>
        <w:jc w:val="both"/>
        <w:ind w:left="340"/>
        <w:spacing w:after="0" w:line="297" w:lineRule="auto"/>
        <w:rPr>
          <w:sz w:val="20"/>
          <w:szCs w:val="20"/>
          <w:color w:val="auto"/>
        </w:rPr>
      </w:pPr>
      <w:r>
        <w:rPr>
          <w:rFonts w:ascii="Times New Roman" w:cs="Times New Roman" w:eastAsia="Times New Roman" w:hAnsi="Times New Roman"/>
          <w:sz w:val="20"/>
          <w:szCs w:val="20"/>
          <w:color w:val="auto"/>
        </w:rPr>
        <w:t>The Plan invests in various investment securities that are exposed to various risks such as interest rate, marketand credit risks. Due to the level of risk associated with certain investment securities, it is at least reasonably possible that changes in the values of investment securities will occur in the near term and that such changes could materially affect the participants' account balances and the amounts reported in the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5 – Tax Status</w:t>
      </w:r>
    </w:p>
    <w:p>
      <w:pPr>
        <w:spacing w:after="0" w:line="314" w:lineRule="exact"/>
        <w:rPr>
          <w:sz w:val="20"/>
          <w:szCs w:val="20"/>
          <w:color w:val="auto"/>
        </w:rPr>
      </w:pPr>
    </w:p>
    <w:p>
      <w:pPr>
        <w:jc w:val="both"/>
        <w:ind w:left="340" w:right="20"/>
        <w:spacing w:after="0" w:line="293" w:lineRule="auto"/>
        <w:rPr>
          <w:sz w:val="20"/>
          <w:szCs w:val="20"/>
          <w:color w:val="auto"/>
        </w:rPr>
      </w:pPr>
      <w:r>
        <w:rPr>
          <w:rFonts w:ascii="Times New Roman" w:cs="Times New Roman" w:eastAsia="Times New Roman" w:hAnsi="Times New Roman"/>
          <w:sz w:val="20"/>
          <w:szCs w:val="20"/>
          <w:color w:val="auto"/>
        </w:rPr>
        <w:t>The IRS has determined and informed the Company by a letter dated January14, 2015 that the amended and restated Plan document is designed in accordance with applicable sections of the IRC. Although the plan document has been amended since receiving the determination letter, the Plan administrator believes the Plan is designed and currently being operated in compliance with the applicable requirements of the IRC. Therefore, no provision for income taxes has been included in the Plan’s financial statements .</w:t>
      </w:r>
    </w:p>
    <w:p>
      <w:pPr>
        <w:spacing w:after="0" w:line="243" w:lineRule="exact"/>
        <w:rPr>
          <w:sz w:val="20"/>
          <w:szCs w:val="20"/>
          <w:color w:val="auto"/>
        </w:rPr>
      </w:pPr>
    </w:p>
    <w:p>
      <w:pPr>
        <w:jc w:val="both"/>
        <w:ind w:left="340"/>
        <w:spacing w:after="0" w:line="289" w:lineRule="auto"/>
        <w:rPr>
          <w:sz w:val="20"/>
          <w:szCs w:val="20"/>
          <w:color w:val="auto"/>
        </w:rPr>
      </w:pPr>
      <w:r>
        <w:rPr>
          <w:rFonts w:ascii="Times New Roman" w:cs="Times New Roman" w:eastAsia="Times New Roman" w:hAnsi="Times New Roman"/>
          <w:sz w:val="20"/>
          <w:szCs w:val="20"/>
          <w:color w:val="auto"/>
        </w:rPr>
        <w:t>Accounting principles generally accepted in the United States of America require Plan management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there are no uncertain positions taken or expected to be taken that would require recognition of a liability (or asset) or disclosure in the financial statements. The Plan is subject to routine audits by taxing jurisdictions; however, there are currently no audits for any tax periods in progress.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 6 – Parties -in-Interest Transactions</w:t>
      </w:r>
    </w:p>
    <w:p>
      <w:pPr>
        <w:spacing w:after="0" w:line="328" w:lineRule="exact"/>
        <w:rPr>
          <w:sz w:val="20"/>
          <w:szCs w:val="20"/>
          <w:color w:val="auto"/>
        </w:rPr>
      </w:pPr>
    </w:p>
    <w:p>
      <w:pPr>
        <w:jc w:val="both"/>
        <w:ind w:left="340"/>
        <w:spacing w:after="0" w:line="293" w:lineRule="auto"/>
        <w:rPr>
          <w:sz w:val="20"/>
          <w:szCs w:val="20"/>
          <w:color w:val="auto"/>
        </w:rPr>
      </w:pPr>
      <w:r>
        <w:rPr>
          <w:rFonts w:ascii="Times New Roman" w:cs="Times New Roman" w:eastAsia="Times New Roman" w:hAnsi="Times New Roman"/>
          <w:sz w:val="20"/>
          <w:szCs w:val="20"/>
          <w:color w:val="auto"/>
        </w:rPr>
        <w:t>The Plan invests in shares of the Company. The Company is the Plan sponsor and is, therefore, by definition a party-in-interest. All investments and investment transactions related to company stock were with a party- in-interest. As of December 31, 2025 and 2024 the fair value of the investment in Company stock was $150,927,930 and $196,595,844, respectively. Total dividend income received during the year ended December 31, 2025 and 2024 was $16,320,204 and $5,588,690 , respectively.</w:t>
      </w:r>
    </w:p>
    <w:p>
      <w:pPr>
        <w:spacing w:after="0" w:line="230" w:lineRule="exact"/>
        <w:rPr>
          <w:sz w:val="20"/>
          <w:szCs w:val="20"/>
          <w:color w:val="auto"/>
        </w:rPr>
      </w:pPr>
    </w:p>
    <w:p>
      <w:pPr>
        <w:jc w:val="both"/>
        <w:ind w:left="340" w:right="40"/>
        <w:spacing w:after="0" w:line="297" w:lineRule="auto"/>
        <w:rPr>
          <w:sz w:val="20"/>
          <w:szCs w:val="20"/>
          <w:color w:val="auto"/>
        </w:rPr>
      </w:pPr>
      <w:r>
        <w:rPr>
          <w:rFonts w:ascii="Times New Roman" w:cs="Times New Roman" w:eastAsia="Times New Roman" w:hAnsi="Times New Roman"/>
          <w:sz w:val="20"/>
          <w:szCs w:val="20"/>
          <w:color w:val="auto"/>
        </w:rPr>
        <w:t>Empower Annuity Insurance Company serves as recordkeeper to the Plan, OneDigital Investment Advisors LLC serves as investment advisor to the Plan, and Empower Advisory Group, LLC serves as investment managers tothe Plan. Fees are paid to these companies for their services. These service providers are by definition parties-in-interest.</w:t>
      </w:r>
    </w:p>
    <w:p>
      <w:pPr>
        <w:spacing w:after="0" w:line="225" w:lineRule="exact"/>
        <w:rPr>
          <w:sz w:val="20"/>
          <w:szCs w:val="20"/>
          <w:color w:val="auto"/>
        </w:rPr>
      </w:pPr>
    </w:p>
    <w:p>
      <w:pPr>
        <w:ind w:left="340" w:right="60"/>
        <w:spacing w:after="0" w:line="329" w:lineRule="auto"/>
        <w:rPr>
          <w:sz w:val="20"/>
          <w:szCs w:val="20"/>
          <w:color w:val="auto"/>
        </w:rPr>
      </w:pPr>
      <w:r>
        <w:rPr>
          <w:rFonts w:ascii="Times New Roman" w:cs="Times New Roman" w:eastAsia="Times New Roman" w:hAnsi="Times New Roman"/>
          <w:sz w:val="20"/>
          <w:szCs w:val="20"/>
          <w:color w:val="auto"/>
        </w:rPr>
        <w:t>The Plan also holds notes receivable from participants. As a result, these notes receivable and all related transactions were with a party-in-interest.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0"/>
          <w:szCs w:val="20"/>
          <w:color w:val="auto"/>
        </w:rPr>
        <w:t>All of these transactions are exempt from being prohibited transactions under ERISA.</w:t>
      </w:r>
    </w:p>
    <w:p>
      <w:pPr>
        <w:sectPr>
          <w:pgSz w:w="11900" w:h="16838" w:orient="portrait"/>
          <w:cols w:equalWidth="0" w:num="1">
            <w:col w:w="9460"/>
          </w:cols>
          <w:pgMar w:left="1240" w:top="865"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11</w:t>
      </w:r>
    </w:p>
    <w:p>
      <w:pPr>
        <w:sectPr>
          <w:pgSz w:w="11900" w:h="16838" w:orient="portrait"/>
          <w:cols w:equalWidth="0" w:num="1">
            <w:col w:w="9460"/>
          </w:cols>
          <w:pgMar w:left="1240" w:top="865" w:right="1199" w:bottom="1440" w:gutter="0" w:footer="0" w:header="0"/>
          <w:type w:val="continuous"/>
        </w:sectPr>
      </w:pPr>
    </w:p>
    <w:bookmarkStart w:id="12" w:name="page13"/>
    <w:bookmarkEnd w:id="12"/>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left="1320"/>
        <w:spacing w:after="0"/>
        <w:rPr>
          <w:sz w:val="20"/>
          <w:szCs w:val="20"/>
          <w:color w:val="auto"/>
        </w:rPr>
      </w:pPr>
      <w:r>
        <w:rPr>
          <w:rFonts w:ascii="Times New Roman" w:cs="Times New Roman" w:eastAsia="Times New Roman" w:hAnsi="Times New Roman"/>
          <w:sz w:val="20"/>
          <w:szCs w:val="20"/>
          <w:b w:val="1"/>
          <w:bCs w:val="1"/>
          <w:color w:val="auto"/>
        </w:rPr>
        <w:t>CAL-MAINE FOODS, INC. KSOP</w:t>
      </w:r>
    </w:p>
    <w:p>
      <w:pPr>
        <w:spacing w:after="0" w:line="26" w:lineRule="exact"/>
        <w:rPr>
          <w:sz w:val="20"/>
          <w:szCs w:val="20"/>
          <w:color w:val="auto"/>
        </w:rPr>
      </w:pPr>
    </w:p>
    <w:p>
      <w:pPr>
        <w:jc w:val="center"/>
        <w:ind w:left="1300"/>
        <w:spacing w:after="0"/>
        <w:rPr>
          <w:sz w:val="20"/>
          <w:szCs w:val="20"/>
          <w:color w:val="auto"/>
        </w:rPr>
      </w:pPr>
      <w:r>
        <w:rPr>
          <w:rFonts w:ascii="Times New Roman" w:cs="Times New Roman" w:eastAsia="Times New Roman" w:hAnsi="Times New Roman"/>
          <w:sz w:val="20"/>
          <w:szCs w:val="20"/>
          <w:b w:val="1"/>
          <w:bCs w:val="1"/>
          <w:color w:val="auto"/>
        </w:rPr>
        <w:t>PLAN NUMBER 001</w:t>
      </w:r>
    </w:p>
    <w:p>
      <w:pPr>
        <w:spacing w:after="0" w:line="10"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0"/>
          <w:szCs w:val="20"/>
          <w:b w:val="1"/>
          <w:bCs w:val="1"/>
          <w:color w:val="auto"/>
        </w:rPr>
        <w:t>EMPLOYER IDENTIFICATION NUMBER 64-0500378</w:t>
      </w:r>
    </w:p>
    <w:p>
      <w:pPr>
        <w:spacing w:after="0" w:line="192"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0"/>
          <w:szCs w:val="20"/>
          <w:b w:val="1"/>
          <w:bCs w:val="1"/>
          <w:color w:val="auto"/>
        </w:rPr>
        <w:t>Form 5500, Schedule H, Line 4i</w:t>
      </w:r>
    </w:p>
    <w:p>
      <w:pPr>
        <w:spacing w:after="0" w:line="2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b w:val="1"/>
          <w:bCs w:val="1"/>
          <w:color w:val="auto"/>
        </w:rPr>
        <w:t>Schedule of Assets (Held at End of Year)</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70" w:type="dxa"/>
            <w:vAlign w:val="bottom"/>
          </w:tcPr>
          <w:p>
            <w:pPr>
              <w:spacing w:after="0"/>
              <w:rPr>
                <w:sz w:val="22"/>
                <w:szCs w:val="22"/>
                <w:color w:val="auto"/>
              </w:rPr>
            </w:pPr>
          </w:p>
        </w:tc>
        <w:tc>
          <w:tcPr>
            <w:tcW w:w="41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Description of investment including</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70"/>
        </w:trPr>
        <w:tc>
          <w:tcPr>
            <w:tcW w:w="820" w:type="dxa"/>
            <w:vAlign w:val="bottom"/>
          </w:tcPr>
          <w:p>
            <w:pPr>
              <w:spacing w:after="0"/>
              <w:rPr>
                <w:sz w:val="23"/>
                <w:szCs w:val="23"/>
                <w:color w:val="auto"/>
              </w:rPr>
            </w:pPr>
          </w:p>
        </w:tc>
        <w:tc>
          <w:tcPr>
            <w:tcW w:w="293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Identity of issue, borrower,</w:t>
            </w:r>
          </w:p>
        </w:tc>
        <w:tc>
          <w:tcPr>
            <w:tcW w:w="41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maturity date, rate of interest,</w:t>
            </w: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37"/>
        </w:trPr>
        <w:tc>
          <w:tcPr>
            <w:tcW w:w="375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  (b) lessor or similar party</w:t>
            </w:r>
          </w:p>
        </w:tc>
        <w:tc>
          <w:tcPr>
            <w:tcW w:w="4110" w:type="dxa"/>
            <w:vAlign w:val="bottom"/>
            <w:gridSpan w:val="4"/>
          </w:tcPr>
          <w:p>
            <w:pPr>
              <w:ind w:left="110"/>
              <w:spacing w:after="0"/>
              <w:rPr>
                <w:sz w:val="20"/>
                <w:szCs w:val="20"/>
                <w:color w:val="auto"/>
              </w:rPr>
            </w:pPr>
            <w:r>
              <w:rPr>
                <w:rFonts w:ascii="Times New Roman" w:cs="Times New Roman" w:eastAsia="Times New Roman" w:hAnsi="Times New Roman"/>
                <w:sz w:val="20"/>
                <w:szCs w:val="20"/>
                <w:color w:val="auto"/>
              </w:rPr>
              <w:t>(c) collateral, par or maturity value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63"/>
        </w:trPr>
        <w:tc>
          <w:tcPr>
            <w:tcW w:w="8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1700" w:type="dxa"/>
            <w:vAlign w:val="bottom"/>
            <w:tcBorders>
              <w:top w:val="single" w:sz="8" w:color="auto"/>
            </w:tcBorders>
            <w:shd w:val="clear" w:color="auto" w:fill="CCEEFF"/>
          </w:tcPr>
          <w:p>
            <w:pPr>
              <w:spacing w:after="0"/>
              <w:rPr>
                <w:sz w:val="22"/>
                <w:szCs w:val="22"/>
                <w:color w:val="auto"/>
              </w:rPr>
            </w:pPr>
          </w:p>
        </w:tc>
        <w:tc>
          <w:tcPr>
            <w:tcW w:w="1070" w:type="dxa"/>
            <w:vAlign w:val="bottom"/>
            <w:tcBorders>
              <w:top w:val="single" w:sz="8" w:color="auto"/>
            </w:tcBorders>
            <w:shd w:val="clear" w:color="auto" w:fill="CCEEFF"/>
          </w:tcPr>
          <w:p>
            <w:pPr>
              <w:spacing w:after="0"/>
              <w:rPr>
                <w:sz w:val="22"/>
                <w:szCs w:val="22"/>
                <w:color w:val="auto"/>
              </w:rPr>
            </w:pPr>
          </w:p>
        </w:tc>
        <w:tc>
          <w:tcPr>
            <w:tcW w:w="410" w:type="dxa"/>
            <w:vAlign w:val="bottom"/>
            <w:tcBorders>
              <w:top w:val="single" w:sz="8" w:color="CCEEFF"/>
            </w:tcBorders>
            <w:shd w:val="clear" w:color="auto" w:fill="CCEEFF"/>
          </w:tcPr>
          <w:p>
            <w:pPr>
              <w:spacing w:after="0"/>
              <w:rPr>
                <w:sz w:val="22"/>
                <w:szCs w:val="22"/>
                <w:color w:val="auto"/>
              </w:rPr>
            </w:pPr>
          </w:p>
        </w:tc>
        <w:tc>
          <w:tcPr>
            <w:tcW w:w="60" w:type="dxa"/>
            <w:vAlign w:val="bottom"/>
          </w:tcPr>
          <w:p>
            <w:pPr>
              <w:spacing w:after="0"/>
              <w:rPr>
                <w:sz w:val="22"/>
                <w:szCs w:val="22"/>
                <w:color w:val="auto"/>
              </w:rPr>
            </w:pPr>
          </w:p>
        </w:tc>
        <w:tc>
          <w:tcPr>
            <w:tcW w:w="2640" w:type="dxa"/>
            <w:vAlign w:val="bottom"/>
            <w:tcBorders>
              <w:top w:val="single" w:sz="8" w:color="auto"/>
            </w:tcBorders>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291"/>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Common collective trust funds</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Federated Hermes</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Capital Preservation Fund</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0"/>
        </w:trPr>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70" w:type="dxa"/>
            <w:vAlign w:val="bottom"/>
            <w:gridSpan w:val="2"/>
          </w:tcPr>
          <w:p>
            <w:pPr>
              <w:spacing w:after="0"/>
              <w:rPr>
                <w:sz w:val="23"/>
                <w:szCs w:val="23"/>
                <w:color w:val="auto"/>
              </w:rPr>
            </w:pPr>
          </w:p>
        </w:tc>
        <w:tc>
          <w:tcPr>
            <w:tcW w:w="41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70"/>
        </w:trPr>
        <w:tc>
          <w:tcPr>
            <w:tcW w:w="8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77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Mutual funds</w:t>
            </w:r>
          </w:p>
        </w:tc>
        <w:tc>
          <w:tcPr>
            <w:tcW w:w="410" w:type="dxa"/>
            <w:vAlign w:val="bottom"/>
            <w:shd w:val="clear" w:color="auto" w:fill="CCEEFF"/>
          </w:tcPr>
          <w:p>
            <w:pPr>
              <w:spacing w:after="0"/>
              <w:rPr>
                <w:sz w:val="23"/>
                <w:szCs w:val="23"/>
                <w:color w:val="auto"/>
              </w:rPr>
            </w:pPr>
          </w:p>
        </w:tc>
        <w:tc>
          <w:tcPr>
            <w:tcW w:w="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91"/>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Allspring</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Special Mid Cap Value Fund R6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BlackRock</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Inflation Prted Bd Blackrock  K</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1"/>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BlackRock</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Liquidity FedFund Instl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BlackRock</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Mid-Cap Growth Equity K</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63"/>
        </w:trPr>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7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Invesco</w:t>
            </w:r>
          </w:p>
        </w:tc>
        <w:tc>
          <w:tcPr>
            <w:tcW w:w="41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Growth and Income Fund R6</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42"/>
        </w:trPr>
        <w:tc>
          <w:tcPr>
            <w:tcW w:w="8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770" w:type="dxa"/>
            <w:vAlign w:val="bottom"/>
            <w:tcBorders>
              <w:bottom w:val="single" w:sz="8" w:color="CCEEFF"/>
            </w:tcBorders>
            <w:gridSpan w:val="2"/>
          </w:tcPr>
          <w:p>
            <w:pPr>
              <w:spacing w:after="0"/>
              <w:rPr>
                <w:sz w:val="3"/>
                <w:szCs w:val="3"/>
                <w:color w:val="auto"/>
              </w:rPr>
            </w:pPr>
          </w:p>
        </w:tc>
        <w:tc>
          <w:tcPr>
            <w:tcW w:w="410" w:type="dxa"/>
            <w:vAlign w:val="bottom"/>
            <w:tcBorders>
              <w:bottom w:val="single" w:sz="8" w:color="CCEEFF"/>
            </w:tcBorders>
          </w:tcPr>
          <w:p>
            <w:pPr>
              <w:spacing w:after="0"/>
              <w:rPr>
                <w:sz w:val="3"/>
                <w:szCs w:val="3"/>
                <w:color w:val="auto"/>
              </w:rPr>
            </w:pPr>
          </w:p>
        </w:tc>
        <w:tc>
          <w:tcPr>
            <w:tcW w:w="60" w:type="dxa"/>
            <w:vAlign w:val="bottom"/>
          </w:tcPr>
          <w:p>
            <w:pPr>
              <w:spacing w:after="0"/>
              <w:rPr>
                <w:sz w:val="3"/>
                <w:szCs w:val="3"/>
                <w:color w:val="auto"/>
              </w:rPr>
            </w:pPr>
          </w:p>
        </w:tc>
        <w:tc>
          <w:tcPr>
            <w:tcW w:w="36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r>
      <w:tr>
        <w:trPr>
          <w:trHeight w:val="229"/>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MFS</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Massachusetts Investors Gr Stk R6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MFS</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Return Bond R6</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MFS</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Return R6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T. Rowe Price</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Retirement 2010 Fund 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 Rowe Price</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Retirement 2020 Fund I</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T. Rowe Price</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Retirement 2030 Fund 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770" w:type="dxa"/>
            <w:vAlign w:val="bottom"/>
            <w:tcBorders>
              <w:bottom w:val="single" w:sz="8" w:color="CCEEFF"/>
            </w:tcBorders>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T. Rowe Price</w:t>
            </w:r>
          </w:p>
        </w:tc>
        <w:tc>
          <w:tcPr>
            <w:tcW w:w="41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tcBorders>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Retirement 2040 Fund 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T. Rowe Price</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Retirement 2050 Fund I</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8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770" w:type="dxa"/>
            <w:vAlign w:val="bottom"/>
            <w:tcBorders>
              <w:bottom w:val="single" w:sz="8" w:color="CCEEFF"/>
            </w:tcBorders>
            <w:gridSpan w:val="2"/>
            <w:shd w:val="clear" w:color="auto" w:fill="CCEEFF"/>
          </w:tcPr>
          <w:p>
            <w:pPr>
              <w:ind w:left="120"/>
              <w:spacing w:after="0" w:line="203" w:lineRule="exact"/>
              <w:rPr>
                <w:sz w:val="20"/>
                <w:szCs w:val="20"/>
                <w:color w:val="auto"/>
              </w:rPr>
            </w:pPr>
            <w:r>
              <w:rPr>
                <w:rFonts w:ascii="Times New Roman" w:cs="Times New Roman" w:eastAsia="Times New Roman" w:hAnsi="Times New Roman"/>
                <w:sz w:val="20"/>
                <w:szCs w:val="20"/>
                <w:color w:val="auto"/>
              </w:rPr>
              <w:t>T. Rowe Price</w:t>
            </w:r>
          </w:p>
        </w:tc>
        <w:tc>
          <w:tcPr>
            <w:tcW w:w="410" w:type="dxa"/>
            <w:vAlign w:val="bottom"/>
            <w:tcBorders>
              <w:bottom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3640" w:type="dxa"/>
            <w:vAlign w:val="bottom"/>
            <w:tcBorders>
              <w:bottom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20"/>
                <w:szCs w:val="20"/>
                <w:color w:val="auto"/>
              </w:rPr>
              <w:t>Retirement 2060 Fund I</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Vanguard</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500 Index Fund - Admiral</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Vanguard</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Developed Markets Index Admiral</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Vanguard</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Explorer Adm</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0"/>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7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Vanguard</w:t>
            </w:r>
          </w:p>
        </w:tc>
        <w:tc>
          <w:tcPr>
            <w:tcW w:w="410" w:type="dxa"/>
            <w:vAlign w:val="bottom"/>
            <w:shd w:val="clear" w:color="auto" w:fill="CCEEFF"/>
          </w:tcPr>
          <w:p>
            <w:pPr>
              <w:spacing w:after="0"/>
              <w:rPr>
                <w:sz w:val="19"/>
                <w:szCs w:val="19"/>
                <w:color w:val="auto"/>
              </w:rPr>
            </w:pPr>
          </w:p>
        </w:tc>
        <w:tc>
          <w:tcPr>
            <w:tcW w:w="60" w:type="dxa"/>
            <w:vAlign w:val="bottom"/>
          </w:tcPr>
          <w:p>
            <w:pPr>
              <w:spacing w:after="0"/>
              <w:rPr>
                <w:sz w:val="19"/>
                <w:szCs w:val="19"/>
                <w:color w:val="auto"/>
              </w:rPr>
            </w:pPr>
          </w:p>
        </w:tc>
        <w:tc>
          <w:tcPr>
            <w:tcW w:w="3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Mid Cap Index Adm</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90"/>
        </w:trPr>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77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Vanguard</w:t>
            </w:r>
          </w:p>
        </w:tc>
        <w:tc>
          <w:tcPr>
            <w:tcW w:w="410" w:type="dxa"/>
            <w:vAlign w:val="bottom"/>
            <w:tcBorders>
              <w:bottom w:val="single" w:sz="8" w:color="CCEEFF"/>
            </w:tcBorders>
          </w:tcPr>
          <w:p>
            <w:pPr>
              <w:spacing w:after="0"/>
              <w:rPr>
                <w:sz w:val="24"/>
                <w:szCs w:val="24"/>
                <w:color w:val="auto"/>
              </w:rPr>
            </w:pPr>
          </w:p>
        </w:tc>
        <w:tc>
          <w:tcPr>
            <w:tcW w:w="60" w:type="dxa"/>
            <w:vAlign w:val="bottom"/>
          </w:tcPr>
          <w:p>
            <w:pPr>
              <w:spacing w:after="0"/>
              <w:rPr>
                <w:sz w:val="24"/>
                <w:szCs w:val="24"/>
                <w:color w:val="auto"/>
              </w:rPr>
            </w:pPr>
          </w:p>
        </w:tc>
        <w:tc>
          <w:tcPr>
            <w:tcW w:w="36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20"/>
                <w:szCs w:val="20"/>
                <w:color w:val="auto"/>
              </w:rPr>
              <w:t>Small Cap Index Fund - Admiral</w:t>
            </w: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r>
      <w:tr>
        <w:trPr>
          <w:trHeight w:val="230"/>
        </w:trPr>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89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20"/>
                <w:szCs w:val="20"/>
                <w:color w:val="auto"/>
              </w:rPr>
              <w:t>Total mutual funds</w:t>
            </w:r>
          </w:p>
        </w:tc>
        <w:tc>
          <w:tcPr>
            <w:tcW w:w="410" w:type="dxa"/>
            <w:vAlign w:val="bottom"/>
            <w:shd w:val="clear" w:color="auto" w:fill="CCEEFF"/>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26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bl>
    <w:p>
      <w:pPr>
        <w:spacing w:after="0" w:line="297" w:lineRule="exact"/>
        <w:rPr>
          <w:sz w:val="20"/>
          <w:szCs w:val="20"/>
          <w:color w:val="auto"/>
        </w:rPr>
      </w:pPr>
    </w:p>
    <w:p>
      <w:pPr>
        <w:ind w:left="40" w:right="2440"/>
        <w:spacing w:after="0" w:line="498" w:lineRule="auto"/>
        <w:rPr>
          <w:sz w:val="20"/>
          <w:szCs w:val="20"/>
          <w:color w:val="auto"/>
        </w:rPr>
      </w:pPr>
      <w:r>
        <w:rPr>
          <w:rFonts w:ascii="Times New Roman" w:cs="Times New Roman" w:eastAsia="Times New Roman" w:hAnsi="Times New Roman"/>
          <w:sz w:val="20"/>
          <w:szCs w:val="20"/>
          <w:color w:val="auto"/>
        </w:rPr>
        <w:t>Column (d) not applicable for participant directed investments. See Report of the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Current</w:t>
      </w:r>
    </w:p>
    <w:p>
      <w:pPr>
        <w:spacing w:after="0" w:line="40" w:lineRule="exact"/>
        <w:rPr>
          <w:sz w:val="20"/>
          <w:szCs w:val="20"/>
          <w:color w:val="auto"/>
        </w:rPr>
      </w:pPr>
    </w:p>
    <w:p>
      <w:pPr>
        <w:ind w:left="220" w:hanging="159"/>
        <w:spacing w:after="0" w:line="824" w:lineRule="auto"/>
        <w:tabs>
          <w:tab w:leader="none" w:pos="346" w:val="left"/>
        </w:tabs>
        <w:numPr>
          <w:ilvl w:val="0"/>
          <w:numId w:val="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 xml:space="preserve">value </w:t>
      </w:r>
      <w:r>
        <w:rPr>
          <w:rFonts w:ascii="Times New Roman" w:cs="Times New Roman" w:eastAsia="Times New Roman" w:hAnsi="Times New Roman"/>
          <w:sz w:val="20"/>
          <w:szCs w:val="20"/>
          <w:color w:val="auto"/>
        </w:rPr>
        <w:t>2,785,871</w:t>
      </w:r>
    </w:p>
    <w:p>
      <w:pPr>
        <w:jc w:val="right"/>
        <w:spacing w:after="0"/>
        <w:rPr>
          <w:sz w:val="20"/>
          <w:szCs w:val="20"/>
          <w:color w:val="auto"/>
        </w:rPr>
      </w:pPr>
      <w:r>
        <w:rPr>
          <w:rFonts w:ascii="Times New Roman" w:cs="Times New Roman" w:eastAsia="Times New Roman" w:hAnsi="Times New Roman"/>
          <w:sz w:val="20"/>
          <w:szCs w:val="20"/>
          <w:color w:val="auto"/>
        </w:rPr>
        <w:t>2,294,330</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1,400,474</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3,924,227</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1,244,624</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4,069,051</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4,144,858</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2,861,092</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2,517,114</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292,082</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6,051,749</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14,641,625</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16,070,224</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10,455,081</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4,241,753</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17,424,515</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5,583,169</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3,036,398</w:t>
      </w:r>
    </w:p>
    <w:p>
      <w:pPr>
        <w:spacing w:after="0" w:line="4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1,953,518</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2,054,941</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shd w:val="clear" w:color="auto" w:fill="CCEEFF"/>
        </w:rPr>
        <w:t>104,260,825</w:t>
      </w:r>
    </w:p>
    <w:p>
      <w:pPr>
        <w:sectPr>
          <w:pgSz w:w="11900" w:h="16838" w:orient="portrait"/>
          <w:cols w:equalWidth="0" w:num="2">
            <w:col w:w="8060" w:space="160"/>
            <w:col w:w="1080"/>
          </w:cols>
          <w:pgMar w:left="1240" w:top="1440" w:right="1359" w:bottom="1440" w:gutter="0" w:footer="0" w:header="0"/>
        </w:sectPr>
      </w:pPr>
    </w:p>
    <w:bookmarkStart w:id="13" w:name="page14"/>
    <w:bookmarkEnd w:id="13"/>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CAL-MAINE FOODS, INC. KSOP</w:t>
      </w:r>
    </w:p>
    <w:p>
      <w:pPr>
        <w:spacing w:after="0" w:line="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PLAN NUMBER 001</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EMPLOYER IDENTIFICATION NUMBER 64-0500378</w:t>
      </w: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Form 5500, Schedule H, Line 4i</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of Assets (Held at End of Year)</w:t>
      </w:r>
    </w:p>
    <w:p>
      <w:pPr>
        <w:sectPr>
          <w:pgSz w:w="11900" w:h="16838" w:orient="portrait"/>
          <w:cols w:equalWidth="0" w:num="1">
            <w:col w:w="9300"/>
          </w:cols>
          <w:pgMar w:left="1240" w:top="1440" w:right="1359" w:bottom="1440" w:gutter="0" w:footer="0" w:header="0"/>
        </w:sect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330" w:type="dxa"/>
            <w:vAlign w:val="bottom"/>
          </w:tcPr>
          <w:p>
            <w:pPr>
              <w:spacing w:after="0"/>
              <w:rPr>
                <w:sz w:val="22"/>
                <w:szCs w:val="22"/>
                <w:color w:val="auto"/>
              </w:rPr>
            </w:pPr>
          </w:p>
        </w:tc>
        <w:tc>
          <w:tcPr>
            <w:tcW w:w="430" w:type="dxa"/>
            <w:vAlign w:val="bottom"/>
          </w:tcPr>
          <w:p>
            <w:pPr>
              <w:spacing w:after="0"/>
              <w:rPr>
                <w:sz w:val="22"/>
                <w:szCs w:val="22"/>
                <w:color w:val="auto"/>
              </w:rPr>
            </w:pPr>
          </w:p>
        </w:tc>
        <w:tc>
          <w:tcPr>
            <w:tcW w:w="35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Description of investment including</w:t>
            </w:r>
          </w:p>
        </w:tc>
        <w:tc>
          <w:tcPr>
            <w:tcW w:w="20" w:type="dxa"/>
            <w:vAlign w:val="bottom"/>
          </w:tcPr>
          <w:p>
            <w:pPr>
              <w:spacing w:after="0"/>
              <w:rPr>
                <w:sz w:val="22"/>
                <w:szCs w:val="22"/>
                <w:color w:val="auto"/>
              </w:rPr>
            </w:pPr>
          </w:p>
        </w:tc>
      </w:tr>
      <w:tr>
        <w:trPr>
          <w:trHeight w:val="283"/>
        </w:trPr>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9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auto"/>
              </w:rPr>
              <w:t>Identity of issue, borrower,</w:t>
            </w:r>
          </w:p>
        </w:tc>
        <w:tc>
          <w:tcPr>
            <w:tcW w:w="430" w:type="dxa"/>
            <w:vAlign w:val="bottom"/>
          </w:tcPr>
          <w:p>
            <w:pPr>
              <w:spacing w:after="0"/>
              <w:rPr>
                <w:sz w:val="24"/>
                <w:szCs w:val="24"/>
                <w:color w:val="auto"/>
              </w:rPr>
            </w:pPr>
          </w:p>
        </w:tc>
        <w:tc>
          <w:tcPr>
            <w:tcW w:w="35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maturity date, rate of interest,</w:t>
            </w:r>
          </w:p>
        </w:tc>
        <w:tc>
          <w:tcPr>
            <w:tcW w:w="20" w:type="dxa"/>
            <w:vAlign w:val="bottom"/>
          </w:tcPr>
          <w:p>
            <w:pPr>
              <w:spacing w:after="0"/>
              <w:rPr>
                <w:sz w:val="24"/>
                <w:szCs w:val="24"/>
                <w:color w:val="auto"/>
              </w:rPr>
            </w:pPr>
          </w:p>
        </w:tc>
      </w:tr>
      <w:tr>
        <w:trPr>
          <w:trHeight w:val="251"/>
        </w:trPr>
        <w:tc>
          <w:tcPr>
            <w:tcW w:w="4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w:t>
            </w:r>
          </w:p>
        </w:tc>
        <w:tc>
          <w:tcPr>
            <w:tcW w:w="359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(b) lessor or similar party</w:t>
            </w:r>
          </w:p>
        </w:tc>
        <w:tc>
          <w:tcPr>
            <w:tcW w:w="3930" w:type="dxa"/>
            <w:vAlign w:val="bottom"/>
            <w:gridSpan w:val="4"/>
          </w:tcPr>
          <w:p>
            <w:pPr>
              <w:ind w:left="110"/>
              <w:spacing w:after="0"/>
              <w:rPr>
                <w:sz w:val="20"/>
                <w:szCs w:val="20"/>
                <w:color w:val="auto"/>
              </w:rPr>
            </w:pPr>
            <w:r>
              <w:rPr>
                <w:rFonts w:ascii="Times New Roman" w:cs="Times New Roman" w:eastAsia="Times New Roman" w:hAnsi="Times New Roman"/>
                <w:sz w:val="20"/>
                <w:szCs w:val="20"/>
                <w:color w:val="auto"/>
              </w:rPr>
              <w:t>(c) collateral, par or maturity value</w:t>
            </w:r>
          </w:p>
        </w:tc>
        <w:tc>
          <w:tcPr>
            <w:tcW w:w="20" w:type="dxa"/>
            <w:vAlign w:val="bottom"/>
          </w:tcPr>
          <w:p>
            <w:pPr>
              <w:spacing w:after="0"/>
              <w:rPr>
                <w:sz w:val="21"/>
                <w:szCs w:val="21"/>
                <w:color w:val="auto"/>
              </w:rPr>
            </w:pPr>
          </w:p>
        </w:tc>
      </w:tr>
      <w:tr>
        <w:trPr>
          <w:trHeight w:val="277"/>
        </w:trPr>
        <w:tc>
          <w:tcPr>
            <w:tcW w:w="380" w:type="dxa"/>
            <w:vAlign w:val="bottom"/>
            <w:tcBorders>
              <w:top w:val="single" w:sz="8" w:color="CCEEFF"/>
            </w:tcBorders>
            <w:shd w:val="clear" w:color="auto" w:fill="CCEEFF"/>
          </w:tcPr>
          <w:p>
            <w:pPr>
              <w:spacing w:after="0"/>
              <w:rPr>
                <w:sz w:val="24"/>
                <w:szCs w:val="24"/>
                <w:color w:val="auto"/>
              </w:rPr>
            </w:pPr>
          </w:p>
        </w:tc>
        <w:tc>
          <w:tcPr>
            <w:tcW w:w="40" w:type="dxa"/>
            <w:vAlign w:val="bottom"/>
            <w:tcBorders>
              <w:top w:val="single" w:sz="8" w:color="CCEEFF"/>
            </w:tcBorders>
            <w:shd w:val="clear" w:color="auto" w:fill="CCEEFF"/>
          </w:tcPr>
          <w:p>
            <w:pPr>
              <w:spacing w:after="0"/>
              <w:rPr>
                <w:sz w:val="24"/>
                <w:szCs w:val="24"/>
                <w:color w:val="auto"/>
              </w:rPr>
            </w:pPr>
          </w:p>
        </w:tc>
        <w:tc>
          <w:tcPr>
            <w:tcW w:w="440" w:type="dxa"/>
            <w:vAlign w:val="bottom"/>
            <w:tcBorders>
              <w:top w:val="single" w:sz="8" w:color="CCEEFF"/>
            </w:tcBorders>
            <w:shd w:val="clear" w:color="auto" w:fill="CCEEFF"/>
          </w:tcPr>
          <w:p>
            <w:pPr>
              <w:spacing w:after="0"/>
              <w:rPr>
                <w:sz w:val="24"/>
                <w:szCs w:val="24"/>
                <w:color w:val="auto"/>
              </w:rPr>
            </w:pPr>
          </w:p>
        </w:tc>
        <w:tc>
          <w:tcPr>
            <w:tcW w:w="1820" w:type="dxa"/>
            <w:vAlign w:val="bottom"/>
            <w:tcBorders>
              <w:top w:val="single" w:sz="8" w:color="auto"/>
            </w:tcBorders>
            <w:shd w:val="clear" w:color="auto" w:fill="CCEEFF"/>
          </w:tcPr>
          <w:p>
            <w:pPr>
              <w:spacing w:after="0"/>
              <w:rPr>
                <w:sz w:val="24"/>
                <w:szCs w:val="24"/>
                <w:color w:val="auto"/>
              </w:rPr>
            </w:pPr>
          </w:p>
        </w:tc>
        <w:tc>
          <w:tcPr>
            <w:tcW w:w="1330" w:type="dxa"/>
            <w:vAlign w:val="bottom"/>
            <w:tcBorders>
              <w:top w:val="single" w:sz="8" w:color="auto"/>
            </w:tcBorders>
            <w:shd w:val="clear" w:color="auto" w:fill="CCEEFF"/>
          </w:tcPr>
          <w:p>
            <w:pPr>
              <w:spacing w:after="0"/>
              <w:rPr>
                <w:sz w:val="24"/>
                <w:szCs w:val="24"/>
                <w:color w:val="auto"/>
              </w:rPr>
            </w:pPr>
          </w:p>
        </w:tc>
        <w:tc>
          <w:tcPr>
            <w:tcW w:w="430" w:type="dxa"/>
            <w:vAlign w:val="bottom"/>
            <w:tcBorders>
              <w:top w:val="single" w:sz="8" w:color="CCEEFF"/>
            </w:tcBorders>
            <w:shd w:val="clear" w:color="auto" w:fill="CCEEFF"/>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3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15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20"/>
                <w:szCs w:val="20"/>
                <w:color w:val="auto"/>
              </w:rPr>
              <w:t>Common stock</w:t>
            </w:r>
          </w:p>
        </w:tc>
        <w:tc>
          <w:tcPr>
            <w:tcW w:w="43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15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20"/>
                <w:szCs w:val="20"/>
                <w:color w:val="auto"/>
              </w:rPr>
              <w:t>Cal-Maine Foods, Inc.</w:t>
            </w:r>
          </w:p>
        </w:tc>
        <w:tc>
          <w:tcPr>
            <w:tcW w:w="43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1,896,794 shares of common stock,</w:t>
            </w:r>
          </w:p>
        </w:tc>
        <w:tc>
          <w:tcPr>
            <w:tcW w:w="20" w:type="dxa"/>
            <w:vAlign w:val="bottom"/>
          </w:tcPr>
          <w:p>
            <w:pPr>
              <w:spacing w:after="0"/>
              <w:rPr>
                <w:sz w:val="19"/>
                <w:szCs w:val="19"/>
                <w:color w:val="auto"/>
              </w:rPr>
            </w:pPr>
          </w:p>
        </w:tc>
      </w:tr>
      <w:tr>
        <w:trPr>
          <w:trHeight w:val="283"/>
        </w:trPr>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30" w:type="dxa"/>
            <w:vAlign w:val="bottom"/>
            <w:shd w:val="clear" w:color="auto" w:fill="CCEEFF"/>
          </w:tcPr>
          <w:p>
            <w:pPr>
              <w:spacing w:after="0"/>
              <w:rPr>
                <w:sz w:val="24"/>
                <w:szCs w:val="24"/>
                <w:color w:val="auto"/>
              </w:rPr>
            </w:pPr>
          </w:p>
        </w:tc>
        <w:tc>
          <w:tcPr>
            <w:tcW w:w="43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$0.01 par value</w:t>
            </w:r>
          </w:p>
        </w:tc>
        <w:tc>
          <w:tcPr>
            <w:tcW w:w="20" w:type="dxa"/>
            <w:vAlign w:val="bottom"/>
            <w:shd w:val="clear" w:color="auto" w:fill="CCEEFF"/>
          </w:tcPr>
          <w:p>
            <w:pPr>
              <w:spacing w:after="0"/>
              <w:rPr>
                <w:sz w:val="24"/>
                <w:szCs w:val="24"/>
                <w:color w:val="auto"/>
              </w:rPr>
            </w:pPr>
          </w:p>
        </w:tc>
      </w:tr>
      <w:tr>
        <w:trPr>
          <w:trHeight w:val="318"/>
        </w:trPr>
        <w:tc>
          <w:tcPr>
            <w:tcW w:w="3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40" w:type="dxa"/>
            <w:vAlign w:val="bottom"/>
            <w:tcBorders>
              <w:bottom w:val="single" w:sz="8" w:color="CCEEFF"/>
            </w:tcBorders>
          </w:tcPr>
          <w:p>
            <w:pPr>
              <w:spacing w:after="0"/>
              <w:rPr>
                <w:sz w:val="24"/>
                <w:szCs w:val="24"/>
                <w:color w:val="auto"/>
              </w:rPr>
            </w:pPr>
          </w:p>
        </w:tc>
        <w:tc>
          <w:tcPr>
            <w:tcW w:w="3150" w:type="dxa"/>
            <w:vAlign w:val="bottom"/>
            <w:tcBorders>
              <w:bottom w:val="single" w:sz="8" w:color="CCEEFF"/>
            </w:tcBorders>
            <w:gridSpan w:val="2"/>
          </w:tcPr>
          <w:p>
            <w:pPr>
              <w:spacing w:after="0"/>
              <w:rPr>
                <w:sz w:val="24"/>
                <w:szCs w:val="24"/>
                <w:color w:val="auto"/>
              </w:rPr>
            </w:pPr>
          </w:p>
        </w:tc>
        <w:tc>
          <w:tcPr>
            <w:tcW w:w="430" w:type="dxa"/>
            <w:vAlign w:val="bottom"/>
            <w:tcBorders>
              <w:bottom w:val="single" w:sz="8" w:color="CCEEFF"/>
            </w:tcBorders>
          </w:tcPr>
          <w:p>
            <w:pPr>
              <w:spacing w:after="0"/>
              <w:rPr>
                <w:sz w:val="24"/>
                <w:szCs w:val="24"/>
                <w:color w:val="auto"/>
              </w:rPr>
            </w:pPr>
          </w:p>
        </w:tc>
        <w:tc>
          <w:tcPr>
            <w:tcW w:w="350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3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315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Participant loans</w:t>
            </w:r>
          </w:p>
        </w:tc>
        <w:tc>
          <w:tcPr>
            <w:tcW w:w="43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3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20"/>
                <w:szCs w:val="20"/>
                <w:color w:val="auto"/>
              </w:rPr>
              <w:t>Interest rates from 3.25% to 9.5% with</w:t>
            </w:r>
          </w:p>
        </w:tc>
        <w:tc>
          <w:tcPr>
            <w:tcW w:w="20" w:type="dxa"/>
            <w:vAlign w:val="bottom"/>
          </w:tcPr>
          <w:p>
            <w:pPr>
              <w:spacing w:after="0"/>
              <w:rPr>
                <w:sz w:val="19"/>
                <w:szCs w:val="19"/>
                <w:color w:val="auto"/>
              </w:rPr>
            </w:pPr>
          </w:p>
        </w:tc>
      </w:tr>
      <w:tr>
        <w:trPr>
          <w:trHeight w:val="283"/>
        </w:trPr>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30" w:type="dxa"/>
            <w:vAlign w:val="bottom"/>
            <w:shd w:val="clear" w:color="auto" w:fill="CCEEFF"/>
          </w:tcPr>
          <w:p>
            <w:pPr>
              <w:spacing w:after="0"/>
              <w:rPr>
                <w:sz w:val="24"/>
                <w:szCs w:val="24"/>
                <w:color w:val="auto"/>
              </w:rPr>
            </w:pPr>
          </w:p>
        </w:tc>
        <w:tc>
          <w:tcPr>
            <w:tcW w:w="43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maturity dates from January 2026</w:t>
            </w:r>
          </w:p>
        </w:tc>
        <w:tc>
          <w:tcPr>
            <w:tcW w:w="20" w:type="dxa"/>
            <w:vAlign w:val="bottom"/>
            <w:shd w:val="clear" w:color="auto" w:fill="CCEEFF"/>
          </w:tcPr>
          <w:p>
            <w:pPr>
              <w:spacing w:after="0"/>
              <w:rPr>
                <w:sz w:val="24"/>
                <w:szCs w:val="24"/>
                <w:color w:val="auto"/>
              </w:rPr>
            </w:pPr>
          </w:p>
        </w:tc>
      </w:tr>
      <w:tr>
        <w:trPr>
          <w:trHeight w:val="284"/>
        </w:trPr>
        <w:tc>
          <w:tcPr>
            <w:tcW w:w="3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330" w:type="dxa"/>
            <w:vAlign w:val="bottom"/>
            <w:shd w:val="clear" w:color="auto" w:fill="CCEEFF"/>
          </w:tcPr>
          <w:p>
            <w:pPr>
              <w:spacing w:after="0"/>
              <w:rPr>
                <w:sz w:val="24"/>
                <w:szCs w:val="24"/>
                <w:color w:val="auto"/>
              </w:rPr>
            </w:pPr>
          </w:p>
        </w:tc>
        <w:tc>
          <w:tcPr>
            <w:tcW w:w="43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3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20"/>
                <w:szCs w:val="20"/>
                <w:color w:val="auto"/>
              </w:rPr>
              <w:t>through March 2040</w:t>
            </w:r>
          </w:p>
        </w:tc>
        <w:tc>
          <w:tcPr>
            <w:tcW w:w="20" w:type="dxa"/>
            <w:vAlign w:val="bottom"/>
            <w:shd w:val="clear" w:color="auto" w:fill="CCEEFF"/>
          </w:tcPr>
          <w:p>
            <w:pPr>
              <w:spacing w:after="0"/>
              <w:rPr>
                <w:sz w:val="24"/>
                <w:szCs w:val="24"/>
                <w:color w:val="auto"/>
              </w:rPr>
            </w:pPr>
          </w:p>
        </w:tc>
      </w:tr>
    </w:tbl>
    <w:p>
      <w:pPr>
        <w:spacing w:after="0" w:line="314" w:lineRule="exact"/>
        <w:rPr>
          <w:sz w:val="20"/>
          <w:szCs w:val="20"/>
          <w:color w:val="auto"/>
        </w:rPr>
      </w:pPr>
    </w:p>
    <w:p>
      <w:pPr>
        <w:ind w:left="420"/>
        <w:spacing w:after="0"/>
        <w:rPr>
          <w:sz w:val="20"/>
          <w:szCs w:val="20"/>
          <w:color w:val="auto"/>
        </w:rPr>
      </w:pPr>
      <w:r>
        <w:rPr>
          <w:sz w:val="1"/>
          <w:szCs w:val="1"/>
          <w:color w:val="auto"/>
        </w:rPr>
        <w:drawing>
          <wp:inline distT="0" distB="0" distL="0" distR="0">
            <wp:extent cx="257175" cy="146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146050"/>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Total</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 Party-in-interest</w:t>
      </w:r>
    </w:p>
    <w:p>
      <w:pPr>
        <w:spacing w:after="0" w:line="229" w:lineRule="exact"/>
        <w:rPr>
          <w:sz w:val="20"/>
          <w:szCs w:val="20"/>
          <w:color w:val="auto"/>
        </w:rPr>
      </w:pPr>
    </w:p>
    <w:p>
      <w:pPr>
        <w:ind w:left="40" w:right="2340"/>
        <w:spacing w:after="0" w:line="456" w:lineRule="auto"/>
        <w:rPr>
          <w:sz w:val="20"/>
          <w:szCs w:val="20"/>
          <w:color w:val="auto"/>
        </w:rPr>
      </w:pPr>
      <w:r>
        <w:rPr>
          <w:rFonts w:ascii="Times New Roman" w:cs="Times New Roman" w:eastAsia="Times New Roman" w:hAnsi="Times New Roman"/>
          <w:sz w:val="20"/>
          <w:szCs w:val="20"/>
          <w:color w:val="auto"/>
        </w:rPr>
        <w:t>Column (d) not applicable for participant directed investments. See Report of the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Current</w:t>
      </w:r>
    </w:p>
    <w:p>
      <w:pPr>
        <w:spacing w:after="0" w:line="5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(e)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shd w:val="clear" w:color="auto" w:fill="CCEEFF"/>
        </w:rPr>
        <w:t>$ 150,927,930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color w:val="auto"/>
        </w:rPr>
        <w:t>6,229,412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shd w:val="clear" w:color="auto" w:fill="CCEEFF"/>
        </w:rPr>
        <w:t>$ 264,204,038</w:t>
      </w:r>
    </w:p>
    <w:p>
      <w:pPr>
        <w:spacing w:after="0" w:line="1748" w:lineRule="exact"/>
        <w:rPr>
          <w:sz w:val="20"/>
          <w:szCs w:val="20"/>
          <w:color w:val="auto"/>
        </w:rPr>
      </w:pPr>
    </w:p>
    <w:p>
      <w:pPr>
        <w:sectPr>
          <w:pgSz w:w="11900" w:h="16838" w:orient="portrait"/>
          <w:cols w:equalWidth="0" w:num="2">
            <w:col w:w="7960" w:space="40"/>
            <w:col w:w="1300"/>
          </w:cols>
          <w:pgMar w:left="1240" w:top="1440" w:right="1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13</w:t>
      </w:r>
    </w:p>
    <w:p>
      <w:pPr>
        <w:sectPr>
          <w:pgSz w:w="11900" w:h="16838" w:orient="portrait"/>
          <w:cols w:equalWidth="0" w:num="1">
            <w:col w:w="9300"/>
          </w:cols>
          <w:pgMar w:left="1240" w:top="1440" w:right="1359" w:bottom="1440" w:gutter="0" w:footer="0" w:header="0"/>
          <w:type w:val="continuous"/>
        </w:sectPr>
      </w:pPr>
    </w:p>
    <w:bookmarkStart w:id="14" w:name="page15"/>
    <w:bookmarkEnd w:id="14"/>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314" w:lineRule="exact"/>
        <w:rPr>
          <w:sz w:val="20"/>
          <w:szCs w:val="20"/>
          <w:color w:val="auto"/>
        </w:rPr>
      </w:pPr>
    </w:p>
    <w:p>
      <w:pPr>
        <w:jc w:val="both"/>
        <w:ind w:left="280"/>
        <w:spacing w:after="0" w:line="312"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0"/>
          <w:szCs w:val="20"/>
          <w:color w:val="auto"/>
        </w:rPr>
        <w:t>CAL-MAINE FOODS, INC. KSOP</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20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June 5, 2026</w:t>
            </w:r>
          </w:p>
        </w:tc>
        <w:tc>
          <w:tcPr>
            <w:tcW w:w="45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color w:val="auto"/>
              </w:rPr>
              <w:t>/s/ Teresa Odom</w:t>
            </w:r>
          </w:p>
        </w:tc>
      </w:tr>
      <w:tr>
        <w:trPr>
          <w:trHeight w:val="210"/>
        </w:trPr>
        <w:tc>
          <w:tcPr>
            <w:tcW w:w="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500" w:type="dxa"/>
            <w:vAlign w:val="bottom"/>
          </w:tcPr>
          <w:p>
            <w:pPr>
              <w:ind w:left="700"/>
              <w:spacing w:after="0" w:line="209" w:lineRule="exact"/>
              <w:rPr>
                <w:sz w:val="20"/>
                <w:szCs w:val="20"/>
                <w:color w:val="auto"/>
              </w:rPr>
            </w:pPr>
            <w:r>
              <w:rPr>
                <w:rFonts w:ascii="Times New Roman" w:cs="Times New Roman" w:eastAsia="Times New Roman" w:hAnsi="Times New Roman"/>
                <w:sz w:val="20"/>
                <w:szCs w:val="20"/>
                <w:color w:val="auto"/>
              </w:rPr>
              <w:t>Teresa Odom</w:t>
            </w:r>
          </w:p>
        </w:tc>
      </w:tr>
      <w:tr>
        <w:trPr>
          <w:trHeight w:val="262"/>
        </w:trPr>
        <w:tc>
          <w:tcPr>
            <w:tcW w:w="66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50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Director of Human Resources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14</w:t>
      </w:r>
    </w:p>
    <w:p>
      <w:pPr>
        <w:sectPr>
          <w:pgSz w:w="11900" w:h="16838" w:orient="portrait"/>
          <w:cols w:equalWidth="0" w:num="1">
            <w:col w:w="9400"/>
          </w:cols>
          <w:pgMar w:left="1300" w:top="1440" w:right="1199" w:bottom="1440" w:gutter="0" w:footer="0" w:header="0"/>
        </w:sectPr>
      </w:pPr>
    </w:p>
    <w:bookmarkStart w:id="15" w:name="page16"/>
    <w:bookmarkEnd w:id="15"/>
    <w:p>
      <w:pPr>
        <w:spacing w:after="0" w:line="3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r>
    </w:p>
    <w:p>
      <w:pPr>
        <w:jc w:val="center"/>
        <w:ind w:right="-300"/>
        <w:spacing w:after="0"/>
        <w:rPr>
          <w:sz w:val="20"/>
          <w:szCs w:val="20"/>
          <w:color w:val="auto"/>
        </w:rPr>
      </w:pPr>
      <w:r>
        <w:rPr>
          <w:rFonts w:ascii="Times New Roman" w:cs="Times New Roman" w:eastAsia="Times New Roman" w:hAnsi="Times New Roman"/>
          <w:sz w:val="20"/>
          <w:szCs w:val="20"/>
          <w:b w:val="1"/>
          <w:bCs w:val="1"/>
          <w:color w:val="auto"/>
        </w:rPr>
        <w:t>EXHIBIT INDEX</w:t>
      </w: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Exhibit</w:t>
      </w:r>
    </w:p>
    <w:p>
      <w:pPr>
        <w:spacing w:after="0" w:line="22" w:lineRule="exact"/>
        <w:rPr>
          <w:sz w:val="20"/>
          <w:szCs w:val="20"/>
          <w:color w:val="auto"/>
        </w:rPr>
      </w:pPr>
    </w:p>
    <w:p>
      <w:pPr>
        <w:spacing w:after="0"/>
        <w:tabs>
          <w:tab w:leader="none" w:pos="4700" w:val="left"/>
        </w:tabs>
        <w:rPr>
          <w:sz w:val="20"/>
          <w:szCs w:val="20"/>
          <w:color w:val="auto"/>
        </w:rPr>
      </w:pPr>
      <w:r>
        <w:rPr>
          <w:rFonts w:ascii="Times New Roman" w:cs="Times New Roman" w:eastAsia="Times New Roman" w:hAnsi="Times New Roman"/>
          <w:sz w:val="20"/>
          <w:szCs w:val="20"/>
          <w:color w:val="auto"/>
        </w:rPr>
        <w:t>Number</w:t>
      </w:r>
      <w:r>
        <w:rPr>
          <w:sz w:val="20"/>
          <w:szCs w:val="20"/>
          <w:color w:val="auto"/>
        </w:rPr>
        <w:tab/>
      </w:r>
      <w:r>
        <w:rPr>
          <w:rFonts w:ascii="Times New Roman" w:cs="Times New Roman" w:eastAsia="Times New Roman" w:hAnsi="Times New Roman"/>
          <w:sz w:val="20"/>
          <w:szCs w:val="20"/>
          <w:color w:val="auto"/>
        </w:rPr>
        <w:t>Description</w:t>
      </w:r>
    </w:p>
    <w:p>
      <w:pPr>
        <w:spacing w:after="0" w:line="10" w:lineRule="exact"/>
        <w:rPr>
          <w:sz w:val="20"/>
          <w:szCs w:val="20"/>
          <w:color w:val="auto"/>
        </w:rPr>
      </w:pPr>
    </w:p>
    <w:p>
      <w:pPr>
        <w:ind w:left="14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0563C1"/>
        </w:rPr>
        <w:t>23.1</w:t>
      </w:r>
      <w:r>
        <w:rPr>
          <w:sz w:val="20"/>
          <w:szCs w:val="20"/>
          <w:color w:val="auto"/>
        </w:rPr>
        <w:tab/>
      </w:r>
      <w:r>
        <w:rPr>
          <w:rFonts w:ascii="Times New Roman" w:cs="Times New Roman" w:eastAsia="Times New Roman" w:hAnsi="Times New Roman"/>
          <w:sz w:val="20"/>
          <w:szCs w:val="20"/>
          <w:u w:val="single" w:color="auto"/>
          <w:color w:val="0563C1"/>
        </w:rPr>
        <w:t>Consent of Independent Registered Public Accounting Firm</w:t>
      </w:r>
    </w:p>
    <w:p>
      <w:pPr>
        <w:sectPr>
          <w:pgSz w:w="11900" w:h="16838" w:orient="portrait"/>
          <w:cols w:equalWidth="0" w:num="1">
            <w:col w:w="9059"/>
          </w:cols>
          <w:pgMar w:left="1400" w:top="144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23.1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20"/>
          <w:szCs w:val="20"/>
          <w:color w:val="auto"/>
        </w:rPr>
        <w:t>We consent to the incorporation by reference in Registration Statement No. 333-180470 on Form S-8 of our report dated June 5, 2026, appearing in this annual report on Form 11-K of the Cal-Maine Foods, Inc. KSOP for the year ended December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Independent Registered Public Accounting Firm</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Frost, PLLC</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Little Rock, Arkansas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5, 2026</w:t>
      </w:r>
    </w:p>
    <w:p>
      <w:pPr>
        <w:sectPr>
          <w:pgSz w:w="11900" w:h="16838" w:orient="portrait"/>
          <w:cols w:equalWidth="0" w:num="1">
            <w:col w:w="9460"/>
          </w:cols>
          <w:pgMar w:left="1240" w:top="879" w:right="1199" w:bottom="1440" w:gutter="0" w:footer="0" w:header="0"/>
        </w:sectPr>
      </w:pPr>
    </w:p>
    <w:bookmarkStart w:id="17" w:name="page18"/>
    <w:bookmarkEnd w:id="1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lvl>
    <w:lvl w:ilvl="1">
      <w:lvlJc w:val="left"/>
      <w:lvlText w:val="☐"/>
      <w:numFmt w:val="bullet"/>
      <w:start w:val="1"/>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2026-06-05T15:11:25Z</dcterms:created>
  <dcterms:modified xsi:type="dcterms:W3CDTF">2026-06-05T15:11:25Z</dcterms:modified>
</cp:coreProperties>
</file>